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rPr>
          <w:rFonts w:ascii="等线" w:hAnsi="等线" w:eastAsia="等线" w:cs="等线"/>
          <w:b/>
          <w:sz w:val="44"/>
        </w:rPr>
        <w:t>实验实训代码库说明</w:t>
      </w:r>
    </w:p>
    <w:p>
      <w:pPr>
        <w:jc w:val="center"/>
      </w:pPr>
      <w:r>
        <w:rPr>
          <w:rFonts w:ascii="宋体" w:hAnsi="宋体" w:eastAsia="宋体" w:cs="宋体"/>
          <w:i/>
          <w:sz w:val="24"/>
        </w:rPr>
        <w:t>遥感目标检测教学实训库配套材料</w:t>
      </w:r>
    </w:p>
    <w:p>
      <w:r>
        <w:br w:type="page"/>
      </w:r>
    </w:p>
    <w:p>
      <w:pPr>
        <w:pStyle w:val="Heading2"/>
      </w:pPr>
      <w:r>
        <w:rPr>
          <w:rFonts w:ascii="等线" w:hAnsi="等线" w:eastAsia="等线" w:cs="等线"/>
          <w:b/>
          <w:sz w:val="28"/>
        </w:rPr>
        <w:t>当前代码层级</w:t>
      </w:r>
    </w:p>
    <w:p>
      <w:pPr>
        <w:spacing w:before="100" w:after="140" w:line="276" w:lineRule="auto"/>
        <w:ind w:left="259" w:right="259"/>
        <w:shd w:fill="EAF3F8"/>
      </w:pPr>
      <w:r>
        <w:rPr>
          <w:rFonts w:ascii="Consolas" w:hAnsi="Consolas" w:eastAsia="Consolas" w:cs="Consolas"/>
          <w:b/>
          <w:color w:val="1F4E79"/>
          <w:sz w:val="18"/>
        </w:rPr>
        <w:t>[text]</w:t>
        <w:br/>
      </w:r>
      <w:r>
        <w:rPr>
          <w:rFonts w:ascii="Consolas" w:hAnsi="Consolas" w:eastAsia="Consolas" w:cs="Consolas"/>
          <w:sz w:val="20"/>
        </w:rPr>
        <w:t>src/rsdet/</w:t>
        <w:br/>
        <w:t>├── data.py          # 图像/COCO读取、固定种子划分</w:t>
        <w:br/>
        <w:t>├── metrics.py       # 水平框 IoU、教学版 AP/mAP、Precision/Recall/F1</w:t>
        <w:br/>
        <w:t>├── visualize.py     # 预测框绘制</w:t>
        <w:br/>
        <w:t>├── prepare.py       # 大图滑窗切片入口</w:t>
        <w:br/>
        <w:t>├── train.py         # Ultralytics 配置校验、训练和运行清单</w:t>
        <w:br/>
        <w:t>├── evaluate.py      # 教学版 AP 与可选官方 COCOeval</w:t>
        <w:br/>
        <w:t>└── yolo_pipeline.py # Ultralytics 训练、验证、预测、ONNX导出</w:t>
        <w:br/>
      </w:r>
    </w:p>
    <w:p>
      <w:pPr>
        <w:spacing w:line="360" w:lineRule="auto" w:after="120"/>
        <w:ind w:firstLine="560"/>
      </w:pPr>
      <w:r>
        <w:rPr>
          <w:rFonts w:ascii="宋体" w:hAnsi="宋体" w:eastAsia="宋体" w:cs="宋体"/>
          <w:sz w:val="28"/>
        </w:rPr>
        <w:t>data.py、metrics.py、prepare.py、evaluate.py 和 visualize.py 是不依赖检测框架的基础教学代码，可在 CPU 上运行。train.py 是统一的 Ultralytics CLI；yolo_pipeline.py 仅作为 Notebook 交互式 API，避免形成第二套命令行协议。MMDetection/MMRotate 的配置需要与具体版本矩阵匹配，因此放在对应 Notebook 中通过外部源码和隔离环境加载。</w:t>
      </w:r>
    </w:p>
    <w:p>
      <w:pPr>
        <w:spacing w:line="360" w:lineRule="auto" w:after="120"/>
        <w:ind w:firstLine="560"/>
      </w:pPr>
      <w:r>
        <w:rPr>
          <w:rFonts w:ascii="Consolas" w:hAnsi="Consolas" w:eastAsia="Consolas" w:cs="Consolas"/>
          <w:sz w:val="20"/>
        </w:rPr>
        <w:t>rsdet.train</w:t>
      </w:r>
      <w:r>
        <w:rPr>
          <w:rFonts w:ascii="宋体" w:hAnsi="宋体" w:eastAsia="宋体" w:cs="宋体"/>
          <w:sz w:val="28"/>
        </w:rPr>
        <w:t xml:space="preserve"> 与 </w:t>
      </w:r>
      <w:r>
        <w:rPr>
          <w:rFonts w:ascii="Consolas" w:hAnsi="Consolas" w:eastAsia="Consolas" w:cs="Consolas"/>
          <w:sz w:val="20"/>
        </w:rPr>
        <w:t>rsdet.yolo_pipeline.run</w:t>
      </w:r>
      <w:r>
        <w:rPr>
          <w:rFonts w:ascii="宋体" w:hAnsi="宋体" w:eastAsia="宋体" w:cs="宋体"/>
          <w:sz w:val="28"/>
        </w:rPr>
        <w:t xml:space="preserve"> 共用同一份 Ultralytics 配置校验、数据源预检和 </w:t>
      </w:r>
      <w:r>
        <w:rPr>
          <w:rFonts w:ascii="Consolas" w:hAnsi="Consolas" w:eastAsia="Consolas" w:cs="Consolas"/>
          <w:sz w:val="20"/>
        </w:rPr>
        <w:t>device=auto</w:t>
      </w:r>
      <w:r>
        <w:rPr>
          <w:rFonts w:ascii="宋体" w:hAnsi="宋体" w:eastAsia="宋体" w:cs="宋体"/>
          <w:sz w:val="28"/>
        </w:rPr>
        <w:t xml:space="preserve"> 兼容处理。前者负责可审计的命令行运行清单，后者服务于交互式 Notebook；二者都不会把不存在的本地 </w:t>
      </w:r>
      <w:r>
        <w:rPr>
          <w:rFonts w:ascii="Consolas" w:hAnsi="Consolas" w:eastAsia="Consolas" w:cs="Consolas"/>
          <w:sz w:val="20"/>
        </w:rPr>
        <w:t>data.yaml</w:t>
      </w:r>
      <w:r>
        <w:rPr>
          <w:rFonts w:ascii="宋体" w:hAnsi="宋体" w:eastAsia="宋体" w:cs="宋体"/>
          <w:sz w:val="28"/>
        </w:rPr>
        <w:t xml:space="preserve"> 静默交给训练框架。</w:t>
      </w:r>
      <w:r>
        <w:rPr>
          <w:rFonts w:ascii="Consolas" w:hAnsi="Consolas" w:eastAsia="Consolas" w:cs="Consolas"/>
          <w:sz w:val="20"/>
        </w:rPr>
        <w:t>rsdet.prepare</w:t>
      </w:r>
      <w:r>
        <w:rPr>
          <w:rFonts w:ascii="宋体" w:hAnsi="宋体" w:eastAsia="宋体" w:cs="宋体"/>
          <w:sz w:val="28"/>
        </w:rPr>
        <w:t xml:space="preserve"> 在预检完成前不写出切片，默认拒绝非空输出目录，并在显式 </w:t>
      </w:r>
      <w:r>
        <w:rPr>
          <w:rFonts w:ascii="Consolas" w:hAnsi="Consolas" w:eastAsia="Consolas" w:cs="Consolas"/>
          <w:sz w:val="20"/>
        </w:rPr>
        <w:t>--overwrite</w:t>
      </w:r>
      <w:r>
        <w:rPr>
          <w:rFonts w:ascii="宋体" w:hAnsi="宋体" w:eastAsia="宋体" w:cs="宋体"/>
          <w:sz w:val="28"/>
        </w:rPr>
        <w:t xml:space="preserve"> 时只清理其约定的生成物。</w:t>
      </w:r>
    </w:p>
    <w:p>
      <w:pPr>
        <w:pStyle w:val="Heading2"/>
      </w:pPr>
      <w:r>
        <w:rPr>
          <w:rFonts w:ascii="等线" w:hAnsi="等线" w:eastAsia="等线" w:cs="等线"/>
          <w:b/>
          <w:sz w:val="28"/>
        </w:rPr>
        <w:t>统一代码流程</w:t>
      </w:r>
    </w:p>
    <w:p>
      <w:pPr>
        <w:spacing w:before="100" w:after="140" w:line="276" w:lineRule="auto"/>
        <w:ind w:left="259" w:right="259"/>
        <w:shd w:fill="EAF3F8"/>
      </w:pPr>
      <w:r>
        <w:rPr>
          <w:rFonts w:ascii="Consolas" w:hAnsi="Consolas" w:eastAsia="Consolas" w:cs="Consolas"/>
          <w:b/>
          <w:color w:val="1F4E79"/>
          <w:sz w:val="18"/>
        </w:rPr>
        <w:t>[python]</w:t>
        <w:br/>
        <w:t>from pathlib import Path</w:t>
        <w:br/>
        <w:t>from rsdet.yolo_pipeline import run, predict_and_export</w:t>
        <w:br/>
        <w:br/>
        <w:t>data_yaml = Path("data/processed/dior/data.yaml")</w:t>
        <w:br/>
        <w:t>model, metrics = run(data_yaml, weights="yolov8n.pt",</w:t>
        <w:br/>
        <w:t xml:space="preserve">                     epochs=30, imgsz=1024, batch=4)</w:t>
        <w:br/>
        <w:t>predict_and_export(model, "data/processed/val/images/example.jpg")</w:t>
        <w:br/>
      </w:r>
      <w:r>
        <w:rPr>
          <w:rFonts w:ascii="Consolas" w:hAnsi="Consolas" w:eastAsia="Consolas" w:cs="Consolas"/>
          <w:sz w:val="20"/>
        </w:rPr>
      </w:r>
    </w:p>
    <w:p>
      <w:pPr>
        <w:spacing w:line="360" w:lineRule="auto" w:after="120"/>
        <w:ind w:firstLine="560"/>
      </w:pPr>
      <w:r>
        <w:rPr>
          <w:rFonts w:ascii="宋体" w:hAnsi="宋体" w:eastAsia="宋体" w:cs="宋体"/>
          <w:sz w:val="28"/>
        </w:rPr>
        <w:t xml:space="preserve">运行前必须完成：数据路径检查、类别名称与 ID 对应、至少一张图的标注可视化。调参时只改变一个变量；每次运行将配置、日志和权重放到独立目录，例如 </w:t>
      </w:r>
      <w:r>
        <w:rPr>
          <w:rFonts w:ascii="Consolas" w:hAnsi="Consolas" w:eastAsia="Consolas" w:cs="Consolas"/>
          <w:sz w:val="20"/>
        </w:rPr>
        <w:t>runs/yolo_imgsz640_seed42/</w:t>
      </w:r>
      <w:r>
        <w:rPr>
          <w:rFonts w:ascii="宋体" w:hAnsi="宋体" w:eastAsia="宋体" w:cs="宋体"/>
          <w:sz w:val="28"/>
        </w:rPr>
        <w:t>。</w:t>
      </w:r>
    </w:p>
    <w:p>
      <w:pPr>
        <w:pStyle w:val="Heading2"/>
      </w:pPr>
      <w:r>
        <w:rPr>
          <w:rFonts w:ascii="等线" w:hAnsi="等线" w:eastAsia="等线" w:cs="等线"/>
          <w:b/>
          <w:sz w:val="28"/>
        </w:rPr>
        <w:t>Notebook 验收要求</w:t>
      </w:r>
    </w:p>
    <w:p>
      <w:pPr>
        <w:spacing w:line="360" w:lineRule="auto" w:after="120"/>
        <w:ind w:firstLine="560"/>
      </w:pPr>
      <w:r>
        <w:rPr>
          <w:rFonts w:ascii="宋体" w:hAnsi="宋体" w:eastAsia="宋体" w:cs="宋体"/>
          <w:sz w:val="28"/>
        </w:rPr>
        <w:t>每个 Notebook 应按以下单元顺序执行：环境检查→路径设置→读取与可视化→标签统计→模型构建→快速训练→验证评估→结果可视化→单变量对照→模型保存/加载。当前 5 个 Notebook 已提供统一的数据审计、教学子集构建和真实训练入口；教学子集会生成不重叠的 images/train、images/val，原始数据保持不变，子集结果不得作为完整数据集性能结论。YOLO Notebook 可接入 rsdet.yolo_pipeline.run，Faster R-CNN、Oriented R-CNN、Deformable DETR 和轻量化实验仍需在目标机器完成框架版本与真实数据验收。</w:t>
      </w:r>
      <w:r>
        <w:rPr>
          <w:rFonts w:ascii="Consolas" w:hAnsi="Consolas" w:eastAsia="Consolas" w:cs="Consolas"/>
          <w:sz w:val="20"/>
        </w:rPr>
      </w:r>
      <w:r>
        <w:rPr>
          <w:rFonts w:ascii="宋体" w:hAnsi="宋体" w:eastAsia="宋体" w:cs="宋体"/>
          <w:sz w:val="28"/>
        </w:rPr>
      </w:r>
      <w:r>
        <w:rPr>
          <w:rFonts w:ascii="Consolas" w:hAnsi="Consolas" w:eastAsia="Consolas" w:cs="Consolas"/>
          <w:sz w:val="20"/>
        </w:rPr>
      </w:r>
      <w:r>
        <w:rPr>
          <w:rFonts w:ascii="宋体" w:hAnsi="宋体" w:eastAsia="宋体" w:cs="宋体"/>
          <w:sz w:val="28"/>
        </w:rPr>
      </w:r>
      <w:r>
        <w:rPr>
          <w:rFonts w:ascii="Consolas" w:hAnsi="Consolas" w:eastAsia="Consolas" w:cs="Consolas"/>
          <w:sz w:val="20"/>
        </w:rPr>
      </w:r>
      <w:r>
        <w:rPr>
          <w:rFonts w:ascii="宋体" w:hAnsi="宋体" w:eastAsia="宋体" w:cs="宋体"/>
          <w:sz w:val="28"/>
        </w:rPr>
      </w:r>
    </w:p>
    <w:p>
      <w:pPr>
        <w:pStyle w:val="Heading2"/>
      </w:pPr>
      <w:r>
        <w:rPr>
          <w:rFonts w:ascii="等线" w:hAnsi="等线" w:eastAsia="等线" w:cs="等线"/>
          <w:b/>
          <w:sz w:val="28"/>
        </w:rPr>
        <w:t>代码质量要求</w:t>
      </w:r>
    </w:p>
    <w:p>
      <w:pPr>
        <w:spacing w:line="360" w:lineRule="auto" w:after="120"/>
        <w:ind w:left="403" w:hanging="259"/>
      </w:pPr>
      <w:r>
        <w:rPr>
          <w:rFonts w:ascii="宋体" w:hAnsi="宋体" w:eastAsia="宋体" w:cs="宋体"/>
          <w:sz w:val="28"/>
        </w:rPr>
        <w:t>• 注释解释“为什么这样设”，而不只是重复代码含义；目标注释覆盖率不低于 30%。</w:t>
      </w:r>
    </w:p>
    <w:p>
      <w:pPr>
        <w:spacing w:line="360" w:lineRule="auto" w:after="120"/>
        <w:ind w:left="403" w:hanging="259"/>
      </w:pPr>
      <w:r>
        <w:rPr>
          <w:rFonts w:ascii="宋体" w:hAnsi="宋体" w:eastAsia="宋体" w:cs="宋体"/>
          <w:sz w:val="28"/>
        </w:rPr>
        <w:t>• 函数只完成单一职责；路径、类别和超参数不得硬编码在函数内部。</w:t>
      </w:r>
    </w:p>
    <w:p>
      <w:pPr>
        <w:spacing w:line="360" w:lineRule="auto" w:after="120"/>
        <w:ind w:left="403" w:hanging="259"/>
      </w:pPr>
      <w:r>
        <w:rPr>
          <w:rFonts w:ascii="宋体" w:hAnsi="宋体" w:eastAsia="宋体" w:cs="宋体"/>
          <w:sz w:val="28"/>
        </w:rPr>
        <w:t>• 每次训练保留配置、随机种子、依赖版本和权重校验值。</w:t>
      </w:r>
    </w:p>
    <w:p>
      <w:pPr>
        <w:spacing w:line="360" w:lineRule="auto" w:after="120"/>
        <w:ind w:left="403" w:hanging="259"/>
      </w:pPr>
      <w:r>
        <w:rPr>
          <w:rFonts w:ascii="宋体" w:hAnsi="宋体" w:eastAsia="宋体" w:cs="宋体"/>
          <w:sz w:val="28"/>
        </w:rPr>
        <w:t>• 对空标注、非法框、灰度 SAR 图像和不存在的路径给出清晰错误信息。</w:t>
      </w:r>
    </w:p>
    <w:p>
      <w:pPr>
        <w:spacing w:line="360" w:lineRule="auto" w:after="120"/>
        <w:ind w:firstLine="560"/>
      </w:pPr>
      <w:r>
        <w:rPr>
          <w:rFonts w:ascii="宋体" w:hAnsi="宋体" w:eastAsia="宋体" w:cs="宋体"/>
          <w:sz w:val="28"/>
        </w:rPr>
        <w:t>Notebook 验收应采用“从上到下重新运行”，而不是只检查单元格中是否有输出。重新运行能够发现变量依赖、隐式缓存和未保存权重等问题。Notebook 开头应显示当前工作目录和库版本；中间应显示一张原始标注图和一张预测图；结尾应打印最终指标并保存结果文件。若某个单元需要人工修改路径，应在单元第一行用注释说明修改位置和数据结构要求。</w:t>
      </w:r>
    </w:p>
    <w:p>
      <w:pPr>
        <w:pStyle w:val="Heading2"/>
      </w:pPr>
      <w:r>
        <w:rPr>
          <w:rFonts w:ascii="等线" w:hAnsi="等线" w:eastAsia="等线" w:cs="等线"/>
          <w:b/>
          <w:sz w:val="28"/>
        </w:rPr>
        <w:t>数据格式转换模块</w:t>
      </w:r>
    </w:p>
    <w:p>
      <w:pPr>
        <w:spacing w:line="360" w:lineRule="auto" w:after="120"/>
        <w:ind w:firstLine="560"/>
      </w:pPr>
      <w:r>
        <w:rPr>
          <w:rFonts w:ascii="宋体" w:hAnsi="宋体" w:eastAsia="宋体" w:cs="宋体"/>
          <w:sz w:val="28"/>
        </w:rPr>
        <w:t>格式转换脚本应把输入目录、输出目录、类别映射和边界策略作为命令行参数，不能把数据集路径写死。转换完成后自动生成统计表、异常记录表和一张随机可视化图。统计表记录图像数、标注数、各类实例数和空标注数；异常表列出非法框、越界框和无法读取的文件；可视化图用于确认框是否发生平移或缩放错误。只有统计表和可视化都通过，才能进入训练。</w:t>
      </w:r>
    </w:p>
    <w:p>
      <w:pPr>
        <w:pStyle w:val="Heading2"/>
      </w:pPr>
      <w:r>
        <w:rPr>
          <w:rFonts w:ascii="等线" w:hAnsi="等线" w:eastAsia="等线" w:cs="等线"/>
          <w:b/>
          <w:sz w:val="28"/>
        </w:rPr>
        <w:t>训练代码的模块边界</w:t>
      </w:r>
    </w:p>
    <w:p>
      <w:pPr>
        <w:spacing w:line="360" w:lineRule="auto" w:after="120"/>
        <w:ind w:firstLine="560"/>
      </w:pPr>
      <w:r>
        <w:rPr>
          <w:rFonts w:ascii="宋体" w:hAnsi="宋体" w:eastAsia="宋体" w:cs="宋体"/>
          <w:sz w:val="28"/>
        </w:rPr>
        <w:t>数据集类只负责读取和变换样本，模型模块负责前向计算，训练器负责优化器、学习率和日志，评估器负责匹配框和汇总指标，绘图模块负责生成图像。把所有内容写在一个 Notebook 单元中虽然短期方便，却不利于定位问题，也无法在五套实验之间复用。Notebook 应调用模块，同时保留关键参数的解释性注释。</w:t>
      </w:r>
    </w:p>
    <w:p>
      <w:pPr>
        <w:pStyle w:val="Heading2"/>
      </w:pPr>
      <w:r>
        <w:rPr>
          <w:rFonts w:ascii="等线" w:hAnsi="等线" w:eastAsia="等线" w:cs="等线"/>
          <w:b/>
          <w:sz w:val="28"/>
        </w:rPr>
        <w:t>日志与结果目录</w:t>
      </w:r>
    </w:p>
    <w:p>
      <w:pPr>
        <w:spacing w:before="100" w:after="140" w:line="276" w:lineRule="auto"/>
        <w:ind w:left="259" w:right="259"/>
        <w:shd w:fill="EAF3F8"/>
      </w:pPr>
      <w:r>
        <w:rPr>
          <w:rFonts w:ascii="Consolas" w:hAnsi="Consolas" w:eastAsia="Consolas" w:cs="Consolas"/>
          <w:b/>
          <w:color w:val="1F4E79"/>
          <w:sz w:val="18"/>
        </w:rPr>
        <w:t>[text]</w:t>
        <w:br/>
      </w:r>
      <w:r>
        <w:rPr>
          <w:rFonts w:ascii="Consolas" w:hAnsi="Consolas" w:eastAsia="Consolas" w:cs="Consolas"/>
          <w:sz w:val="20"/>
        </w:rPr>
        <w:t>runs/exp_20260916_yolo640_seed42/</w:t>
        <w:br/>
        <w:t>├── config.yaml</w:t>
        <w:br/>
        <w:t>├── environment.txt</w:t>
        <w:br/>
        <w:t>├── train.log</w:t>
        <w:br/>
        <w:t>├── metrics.csv</w:t>
        <w:br/>
        <w:t>├── weights/best.pt</w:t>
        <w:br/>
        <w:t>├── figures/pr_curve.png</w:t>
        <w:br/>
        <w:t>└── predictions/</w:t>
        <w:br/>
      </w:r>
    </w:p>
    <w:p>
      <w:pPr>
        <w:spacing w:line="360" w:lineRule="auto" w:after="120"/>
        <w:ind w:firstLine="560"/>
      </w:pPr>
      <w:r>
        <w:rPr>
          <w:rFonts w:ascii="宋体" w:hAnsi="宋体" w:eastAsia="宋体" w:cs="宋体"/>
          <w:sz w:val="28"/>
        </w:rPr>
        <w:t>目录名包含日期、模型、输入尺寸和随机种子，避免覆盖不同实验。</w:t>
      </w:r>
      <w:r>
        <w:rPr>
          <w:rFonts w:ascii="Consolas" w:hAnsi="Consolas" w:eastAsia="Consolas" w:cs="Consolas"/>
          <w:sz w:val="20"/>
        </w:rPr>
        <w:t>metrics.csv</w:t>
      </w:r>
      <w:r>
        <w:rPr>
          <w:rFonts w:ascii="宋体" w:hAnsi="宋体" w:eastAsia="宋体" w:cs="宋体"/>
          <w:sz w:val="28"/>
        </w:rPr>
        <w:t xml:space="preserve"> 至少保存 epoch、训练损失、验证损失、Precision、Recall、mAP 和 FPS。</w:t>
      </w:r>
    </w:p>
    <w:p>
      <w:pPr>
        <w:pStyle w:val="Heading2"/>
      </w:pPr>
      <w:r>
        <w:rPr>
          <w:rFonts w:ascii="等线" w:hAnsi="等线" w:eastAsia="等线" w:cs="等线"/>
          <w:b/>
          <w:sz w:val="28"/>
        </w:rPr>
        <w:t>代码审阅标准</w:t>
      </w:r>
    </w:p>
    <w:p>
      <w:pPr>
        <w:spacing w:line="360" w:lineRule="auto" w:after="120"/>
        <w:ind w:firstLine="560"/>
      </w:pPr>
      <w:r>
        <w:rPr>
          <w:rFonts w:ascii="宋体" w:hAnsi="宋体" w:eastAsia="宋体" w:cs="宋体"/>
          <w:sz w:val="28"/>
        </w:rPr>
        <w:t>检查代码时先运行最小样例，再阅读结构。重点看是否存在隐式路径、未固定随机种子、训练集和验证集共用随机增强、在测试集上反复调参、保存模型前没有记录配置等问题。注释覆盖率不应通过重复解释语法凑数，而应解释遥感数据的特殊处理和参数选择原因。</w:t>
      </w:r>
    </w:p>
    <w:p>
      <w:pPr>
        <w:spacing w:line="360" w:lineRule="auto" w:after="120"/>
        <w:ind w:firstLine="560"/>
      </w:pPr>
      <w:r>
        <w:rPr>
          <w:rFonts w:ascii="宋体" w:hAnsi="宋体" w:eastAsia="宋体" w:cs="宋体"/>
          <w:sz w:val="28"/>
        </w:rPr>
        <w:t xml:space="preserve">代码库还应帮助形成可迁移的编程习惯。新增数据集时，只需编写格式适配器和配置文件，不应复制整个训练脚本；新增指标时，应在 </w:t>
      </w:r>
      <w:r>
        <w:rPr>
          <w:rFonts w:ascii="Consolas" w:hAnsi="Consolas" w:eastAsia="Consolas" w:cs="Consolas"/>
          <w:sz w:val="20"/>
        </w:rPr>
        <w:t>metrics.py</w:t>
      </w:r>
      <w:r>
        <w:rPr>
          <w:rFonts w:ascii="宋体" w:hAnsi="宋体" w:eastAsia="宋体" w:cs="宋体"/>
          <w:sz w:val="28"/>
        </w:rPr>
        <w:t xml:space="preserve"> 中增加独立函数并用已知结果的最小样例验证；新增可视化时，应允许输出到文件而不是只在屏幕显示。这样的组织方式能降低五套实验的重复劳动，也为后续课程设计和毕业设计提供可复用基础。</w:t>
      </w:r>
    </w:p>
    <w:p>
      <w:pPr>
        <w:spacing w:line="360" w:lineRule="auto" w:after="120"/>
        <w:ind w:firstLine="560"/>
      </w:pPr>
      <w:r>
        <w:rPr>
          <w:rFonts w:ascii="宋体" w:hAnsi="宋体" w:eastAsia="宋体" w:cs="宋体"/>
          <w:sz w:val="28"/>
        </w:rPr>
        <w:t xml:space="preserve">模块化代码还要考虑教学可读性。函数参数应使用完整名称，避免大量缩写；关键张量在进入模型前打印形状；数据读取失败时指出具体文件和可能原因；随机抽样时显式传入 seed。复杂的 MMDetection 配置应增加中文注释版，逐项解释 </w:t>
      </w:r>
      <w:r>
        <w:rPr>
          <w:rFonts w:ascii="Consolas" w:hAnsi="Consolas" w:eastAsia="Consolas" w:cs="Consolas"/>
          <w:sz w:val="20"/>
        </w:rPr>
        <w:t>num_classes</w:t>
      </w:r>
      <w:r>
        <w:rPr>
          <w:rFonts w:ascii="宋体" w:hAnsi="宋体" w:eastAsia="宋体" w:cs="宋体"/>
          <w:sz w:val="28"/>
        </w:rPr>
        <w:t>、</w:t>
      </w:r>
      <w:r>
        <w:rPr>
          <w:rFonts w:ascii="Consolas" w:hAnsi="Consolas" w:eastAsia="Consolas" w:cs="Consolas"/>
          <w:sz w:val="20"/>
        </w:rPr>
        <w:t>data_root</w:t>
      </w:r>
      <w:r>
        <w:rPr>
          <w:rFonts w:ascii="宋体" w:hAnsi="宋体" w:eastAsia="宋体" w:cs="宋体"/>
          <w:sz w:val="28"/>
        </w:rPr>
        <w:t>、</w:t>
      </w:r>
      <w:r>
        <w:rPr>
          <w:rFonts w:ascii="Consolas" w:hAnsi="Consolas" w:eastAsia="Consolas" w:cs="Consolas"/>
          <w:sz w:val="20"/>
        </w:rPr>
        <w:t>img_scale</w:t>
      </w:r>
      <w:r>
        <w:rPr>
          <w:rFonts w:ascii="宋体" w:hAnsi="宋体" w:eastAsia="宋体" w:cs="宋体"/>
          <w:sz w:val="28"/>
        </w:rPr>
        <w:t>、</w:t>
      </w:r>
      <w:r>
        <w:rPr>
          <w:rFonts w:ascii="Consolas" w:hAnsi="Consolas" w:eastAsia="Consolas" w:cs="Consolas"/>
          <w:sz w:val="20"/>
        </w:rPr>
        <w:t>max_epochs</w:t>
      </w:r>
      <w:r>
        <w:rPr>
          <w:rFonts w:ascii="宋体" w:hAnsi="宋体" w:eastAsia="宋体" w:cs="宋体"/>
          <w:sz w:val="28"/>
        </w:rPr>
        <w:t xml:space="preserve"> 和评估器配置。</w:t>
      </w:r>
    </w:p>
    <w:p>
      <w:pPr>
        <w:spacing w:line="360" w:lineRule="auto" w:after="120"/>
        <w:ind w:firstLine="560"/>
      </w:pPr>
      <w:r>
        <w:rPr>
          <w:rFonts w:ascii="宋体" w:hAnsi="宋体" w:eastAsia="宋体" w:cs="宋体"/>
          <w:sz w:val="28"/>
        </w:rPr>
        <w:t>代码提交还应附带最小使用示例。示例不应依赖完整数据集，而应使用两张图和少量标注完成读取、前向计算和指标计算，这样可以在 Windows 和兼容 GPU 平台快速确认代码没有基本错误。对于需要安装 MMDetection 或 MMRotate 的模块，应在 README 中写明版本矩阵、安装顺序和已知不兼容项；对于 Ultralytics 模块，则应记录模型权重版本，因为同名模型在不同版本中的默认增强和导出行为可能变化。任何无法在当前环境验证的接口都要标注“待实机确认”，不能用伪输出代替。</w:t>
      </w:r>
    </w:p>
    <w:p>
      <w:pPr>
        <w:spacing w:line="360" w:lineRule="auto" w:after="120"/>
        <w:ind w:firstLine="560"/>
      </w:pPr>
      <w:r>
        <w:rPr>
          <w:rFonts w:ascii="宋体" w:hAnsi="宋体" w:eastAsia="宋体" w:cs="宋体"/>
          <w:sz w:val="28"/>
        </w:rPr>
        <w:t>代码库的最终目标是做到看得懂、改得动、查得出问题，而不是追求文件数量。</w:t>
      </w:r>
    </w:p>
    <w:p>
      <w:pPr>
        <w:spacing w:line="360" w:lineRule="auto" w:after="120"/>
        <w:ind w:firstLine="560"/>
      </w:pPr>
      <w:r>
        <w:rPr>
          <w:rFonts w:ascii="宋体" w:hAnsi="宋体" w:eastAsia="宋体" w:cs="宋体"/>
          <w:sz w:val="28"/>
        </w:rPr>
        <w:t>在提交课程资源时，代码和文档应同步发布。文档中出现的模块名、配置文件名和命令必须能在目录中找到；代码中的默认路径、类别数和输入尺寸必须在文档中解释；图片和日志示例必须标明是“示例输出”还是“实机输出”。这种交叉检查可以显著减少按照手册操作时遇到的路径不一致和参数遗漏。</w:t>
      </w:r>
    </w:p>
    <w:sectPr w:rsidR="00FC693F" w:rsidRPr="0006063C" w:rsidSect="00034616">
      <w:footerReference w:type="default" r:id="rId9"/>
      <w:pgSz w:w="12240" w:h="15840"/>
      <w:pgMar w:top="1080" w:right="1224" w:bottom="1008" w:left="122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宋体" w:hAnsi="宋体" w:eastAsia="宋体" w:cs="宋体"/>
        <w:sz w:val="18"/>
      </w:rPr>
      <w:t xml:space="preserve">遥感目标检测教学实训库  ·  第 </w:t>
    </w:r>
    <w:r/>
    <w:fldSimple w:instr="PAGE"/>
    <w:r>
      <w:rPr>
        <w:rFonts w:ascii="宋体" w:hAnsi="宋体" w:eastAsia="宋体" w:cs="宋体"/>
        <w:sz w:val="18"/>
      </w:rPr>
      <w:t xml:space="preserve"> 页</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after="120"/>
    </w:pPr>
    <w:rPr>
      <w:rFonts w:ascii="宋体" w:hAnsi="宋体" w:eastAsia="宋体"/>
      <w:sz w:val="2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00" w:after="100" w:line="240" w:lineRule="auto"/>
      <w:outlineLvl w:val="0"/>
    </w:pPr>
    <w:rPr>
      <w:rFonts w:asciiTheme="majorHAnsi" w:eastAsiaTheme="majorEastAsia" w:hAnsiTheme="majorHAnsi" w:cstheme="majorBidi" w:ascii="等线" w:hAnsi="等线" w:eastAsia="等线"/>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00" w:after="100" w:line="240" w:lineRule="auto"/>
      <w:outlineLvl w:val="1"/>
    </w:pPr>
    <w:rPr>
      <w:rFonts w:asciiTheme="majorHAnsi" w:eastAsiaTheme="majorEastAsia" w:hAnsiTheme="majorHAnsi" w:cstheme="majorBidi" w:ascii="等线" w:hAnsi="等线" w:eastAsia="等线"/>
      <w:b/>
      <w:bCs/>
      <w:color w:val="000000"/>
      <w:sz w:val="28"/>
      <w:szCs w:val="26"/>
    </w:rPr>
  </w:style>
  <w:style w:type="paragraph" w:styleId="Heading3">
    <w:name w:val="heading 3"/>
    <w:basedOn w:val="Normal"/>
    <w:next w:val="Normal"/>
    <w:link w:val="Heading3Char"/>
    <w:uiPriority w:val="9"/>
    <w:unhideWhenUsed/>
    <w:qFormat/>
    <w:rsid w:val="00FC693F"/>
    <w:pPr>
      <w:keepNext/>
      <w:keepLines/>
      <w:spacing w:before="200" w:after="100" w:line="240" w:lineRule="auto"/>
      <w:outlineLvl w:val="2"/>
    </w:pPr>
    <w:rPr>
      <w:rFonts w:asciiTheme="majorHAnsi" w:eastAsiaTheme="majorEastAsia" w:hAnsiTheme="majorHAnsi" w:cstheme="majorBidi" w:ascii="等线" w:hAnsi="等线" w:eastAsia="等线"/>
      <w:b/>
      <w:bCs/>
      <w:color w:val="000000"/>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00" w:line="240" w:lineRule="auto" w:before="200"/>
      <w:contextualSpacing/>
    </w:pPr>
    <w:rPr>
      <w:rFonts w:asciiTheme="majorHAnsi" w:eastAsiaTheme="majorEastAsia" w:hAnsiTheme="majorHAnsi" w:cstheme="majorBidi" w:ascii="等线" w:hAnsi="等线" w:eastAsia="等线"/>
      <w:color w:val="000000"/>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实验实训代码库说明</dc:title>
  <dc:subject>遥感目标检测教学实训库配套材料</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