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Arial Unicode MS" w:hAnsi="Arial Unicode MS" w:cs="Arial Unicode MS" w:eastAsia="Arial Unicode MS"/>
          <w:b/>
          <w:sz w:val="44"/>
        </w:rPr>
        <w:t>遥感目标检测实验教学方案</w:t>
      </w: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sz w:val="28"/>
        </w:rPr>
        <w:t>本方案面向遥感目标检测课程与实训，明确课程定位、教学目标、实验实施、评价证据与运行检查要求。方案与数据集说明、案例库、知识点手册、五套实验方案及代码库配套使用，强调数据可溯源、过程可复现、结论有依据。</w:t>
      </w:r>
    </w:p>
    <w:p>
      <w:r>
        <w:br w:type="page"/>
      </w:r>
    </w:p>
    <w:p>
      <w:pPr>
        <w:pStyle w:val="Heading1"/>
      </w:pPr>
      <w:r>
        <w:rPr>
          <w:rFonts w:ascii="等线" w:hAnsi="等线" w:cs="等线" w:eastAsia="等线"/>
          <w:b/>
          <w:sz w:val="32"/>
        </w:rPr>
        <w:t>2 遥感目标检测实验教学方案</w:t>
      </w:r>
    </w:p>
    <w:p>
      <w:pPr>
        <w:pStyle w:val="Heading2"/>
      </w:pPr>
      <w:r>
        <w:rPr>
          <w:rFonts w:ascii="等线" w:hAnsi="等线" w:cs="等线" w:eastAsia="等线"/>
          <w:b/>
          <w:sz w:val="26"/>
        </w:rPr>
        <w:t>2.1 课程定位</w:t>
      </w:r>
    </w:p>
    <w:p>
      <w:pPr>
        <w:spacing w:line="360" w:lineRule="auto" w:after="120"/>
        <w:ind w:firstLine="0"/>
      </w:pPr>
      <w:r>
        <w:rPr>
          <w:rFonts w:ascii="宋体" w:hAnsi="宋体" w:eastAsia="宋体" w:cs="宋体"/>
          <w:b/>
          <w:sz w:val="28"/>
        </w:rPr>
        <w:t>（1）课程属性与适用对象</w:t>
      </w: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sz w:val="28"/>
        </w:rPr>
        <w:t>本课程是遥感科学与技术、测绘工程、地理信息科学及相关专业的专业核心实践课程，主要面向本科二、三年级开设，同时可作为高职遥感类专业项目化实训的核心支撑模块，课程总学时设置为48学时。课程立足遥感影像智能解译的工程应用实际需求，将目标检测技术与遥感数据特性深度结合，构建从基础原理到工程实践的完整实训体系，是衔接遥感数字图像处理、摄影测量学等理论课程与智能解译工程应用的关键实践环节，能够有效填补理论知识与工程应用之间的能力断层。</w:t>
      </w:r>
    </w:p>
    <w:p>
      <w:pPr>
        <w:spacing w:line="360" w:lineRule="auto" w:after="120"/>
        <w:ind w:firstLine="0"/>
      </w:pPr>
      <w:r>
        <w:rPr>
          <w:rFonts w:ascii="宋体" w:hAnsi="宋体" w:eastAsia="宋体" w:cs="宋体"/>
          <w:b/>
          <w:sz w:val="28"/>
        </w:rPr>
        <w:t>（2）课程核心导向</w:t>
      </w: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sz w:val="28"/>
        </w:rPr>
        <w:t>课程不以复现学术论文中的最高精度指标为最终导向，而是聚焦于完整实验链路的构建与问题分析能力的培养，核心目标是让学习者具备将公开遥感数据集转化为可复现、可分析、可优化的目标检测实验的工程实践能力。完成课程学习后，学习者能够清晰梳理遥感检测数据的来源与规范、标注格式的几何含义与适用场景，能够精准定位模型产生漏检、误检、重复检测的核心原因，并通过可追溯的实验记录支撑分析结论，形成“数据可溯源、过程可复现、结论有依据”的工程思维，能够适配遥感监测、地理信息更新等实际岗位的能力需求。</w:t>
      </w:r>
    </w:p>
    <w:p>
      <w:pPr>
        <w:spacing w:line="360" w:lineRule="auto" w:after="120"/>
        <w:ind w:firstLine="0"/>
      </w:pPr>
      <w:r>
        <w:rPr>
          <w:rFonts w:ascii="宋体" w:hAnsi="宋体" w:eastAsia="宋体" w:cs="宋体"/>
          <w:b/>
          <w:sz w:val="28"/>
        </w:rPr>
        <w:t>（3）前置知识与教学原则</w:t>
      </w: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sz w:val="28"/>
        </w:rPr>
        <w:t>课程默认学习者具备Python编程基础、数字图像处理基本概念与图像矩阵运算知识，卷积神经网络原理、深度学习框架操作等内容可融入实验过程逐步渗透，无需设置前置深度学习课程，降低了课程的准入门槛。课程整体遵循“数据先行、实践主导、问题驱动”的教学原则，所有理论知识点均围绕具体实验场景展开，避免脱离实操的纯理论讲授，确保每一个知识点都对应可验证的实验现象，每一步操作都有对应的原理支撑，实现“做中学、学中悟”的实践教学效果。</w:t>
      </w:r>
    </w:p>
    <w:p>
      <w:pPr>
        <w:pStyle w:val="Heading2"/>
      </w:pPr>
      <w:r>
        <w:rPr>
          <w:rFonts w:ascii="等线" w:hAnsi="等线" w:cs="等线" w:eastAsia="等线"/>
          <w:b/>
          <w:sz w:val="26"/>
        </w:rPr>
        <w:t>2.2 教学目标</w:t>
      </w: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sz w:val="28"/>
        </w:rPr>
        <w:t>课程围绕数据、原理、实践、设计、规范五个维度设置分层教学目标，各维度目标相互支撑、层层递进，共同构成遥感目标检测的综合能力体系。</w:t>
      </w:r>
    </w:p>
    <w:p>
      <w:pPr>
        <w:spacing w:line="360" w:lineRule="auto" w:after="120"/>
        <w:ind w:firstLine="0"/>
      </w:pPr>
      <w:r>
        <w:rPr>
          <w:rFonts w:ascii="宋体" w:hAnsi="宋体" w:eastAsia="宋体" w:cs="宋体"/>
          <w:b/>
          <w:sz w:val="28"/>
        </w:rPr>
        <w:t>（1）数据理解能力目标</w:t>
      </w: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sz w:val="28"/>
        </w:rPr>
        <w:t>课程完成后，学习者能够区分 DIOR、DOTA 与 SAR 舰船检测等典型数据集的成像机制、标注规范和适用场景，理解不同遥感成像体制下目标检测任务的差异。学习产出包括数据集版本登记、许可合规性核对、标注可视化和基础统计分析；这些产出能够揭示类别映射错误、坐标越界和格式偏差等常见问题，为后续训练提供可靠的数据基础。</w:t>
      </w:r>
    </w:p>
    <w:p>
      <w:pPr>
        <w:spacing w:line="360" w:lineRule="auto" w:after="120"/>
        <w:ind w:firstLine="0"/>
      </w:pPr>
      <w:r>
        <w:rPr>
          <w:rFonts w:ascii="宋体" w:hAnsi="宋体" w:eastAsia="宋体" w:cs="宋体"/>
          <w:b/>
          <w:sz w:val="28"/>
        </w:rPr>
        <w:t>（2）检测原理认知目标</w:t>
      </w: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sz w:val="28"/>
        </w:rPr>
        <w:t>课程完成后，学习者能够准确说明水平边界框、旋转边界框、交并比（IoU）、精确率（Precision）、召回率（Recall）、平均精度（AP）与平均精度均值（mAP）的定义、计算逻辑和适用边界，并能根据任务特点选择相应指标。课程同时建立两阶段检测、一阶段检测和 Transformer 检测三类范式的比较框架，使模型结构、数据条件、计算代价和结果表现能够在同一评价语境中讨论。</w:t>
      </w:r>
    </w:p>
    <w:p>
      <w:pPr>
        <w:spacing w:line="360" w:lineRule="auto" w:after="120"/>
        <w:ind w:firstLine="0"/>
      </w:pPr>
      <w:r>
        <w:rPr>
          <w:rFonts w:ascii="宋体" w:hAnsi="宋体" w:eastAsia="宋体" w:cs="宋体"/>
          <w:b/>
          <w:sz w:val="28"/>
        </w:rPr>
        <w:t>（3）工程实践能力目标</w:t>
      </w: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sz w:val="28"/>
        </w:rPr>
        <w:t>课程完成后，学习者能够独立完成至少一种水平框模型的训练、验证、推理和错误分析，并能够在给定配置下完成旋转框模型或 Deformable DETR 的运行与结果核验。数据格式转换、影像滑窗切片、坐标回映射和结果拼接构成遥感专属处理链路；模型训练日志、实验配置、预测图和处理脚本共同作为工程实践能力的证据。</w:t>
      </w:r>
    </w:p>
    <w:p>
      <w:pPr>
        <w:spacing w:line="360" w:lineRule="auto" w:after="120"/>
        <w:ind w:firstLine="0"/>
      </w:pPr>
      <w:r>
        <w:rPr>
          <w:rFonts w:ascii="宋体" w:hAnsi="宋体" w:eastAsia="宋体" w:cs="宋体"/>
          <w:b/>
          <w:sz w:val="28"/>
        </w:rPr>
        <w:t>（4）实验设计能力目标</w:t>
      </w: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sz w:val="28"/>
        </w:rPr>
        <w:t>课程完成后，学习者具备单变量对照实验的设计能力，能够分析输入尺寸、置信度阈值、模型结构或数据尺度等单一因素对结果的影响，并以控制变量方法定位主要影响因素。对照实验设计表、性能曲线和变量影响分析构成方案设计能力的主要证据；结论需说明适用数据、评价协议和未被控制的潜在因素。</w:t>
      </w:r>
    </w:p>
    <w:p>
      <w:pPr>
        <w:spacing w:line="360" w:lineRule="auto" w:after="120"/>
        <w:ind w:firstLine="0"/>
      </w:pPr>
      <w:r>
        <w:rPr>
          <w:rFonts w:ascii="宋体" w:hAnsi="宋体" w:eastAsia="宋体" w:cs="宋体"/>
          <w:b/>
          <w:sz w:val="28"/>
        </w:rPr>
        <w:t>（5）规范表达素养目标</w:t>
      </w: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sz w:val="28"/>
        </w:rPr>
        <w:t>课程完成后，学习者具备规范的实验记录与成果表达能力，能够完整记录数据集版本、随机种子、硬件环境、运行命令和评价协议，使实验过程可追溯、可复现。报告中明确区分可观察的实验现象与基于现象的解释性推断，并准确标注数据来源、评价标准及结论适用范围。</w:t>
      </w:r>
    </w:p>
    <w:p>
      <w:pPr>
        <w:pStyle w:val="Heading2"/>
      </w:pPr>
      <w:r>
        <w:rPr>
          <w:rFonts w:ascii="等线" w:hAnsi="等线" w:cs="等线" w:eastAsia="等线"/>
          <w:b/>
          <w:sz w:val="26"/>
        </w:rPr>
        <w:t>2.3 教学内容与学时安排</w:t>
      </w: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sz w:val="28"/>
        </w:rPr>
        <w:t>课程总学时设置为 48 学时，其中课堂讲授与随堂练习占 12 学时，配套五套递进式实验实训占 36 学时。教学内容按照 “基础认知 — 方法工具 — 原理支撑 — 基础实训 — 进阶实训 — 综合提升” 的逻辑逐层推进，共设置六个关联紧密的教学模块，各模块的核心配置如下表所示。</w:t>
      </w:r>
    </w:p>
    <w:p>
      <w:bookmarkStart w:id="10" w:name="ref_表2_1"/>
      <w:pPr>
        <w:spacing w:after="120" w:line="360" w:lineRule="auto"/>
        <w:ind w:firstLine="560"/>
        <w:jc w:val="center"/>
      </w:pPr>
      <w:fldSimple w:instr=" REF ref_表2_1 \h ">
        <w:r>
          <w:t>表 2-1</w:t>
        </w:r>
      </w:fldSimple>
      <w:r>
        <w:rPr>
          <w:rFonts w:ascii="宋体" w:hAnsi="宋体" w:cs="宋体" w:eastAsia="宋体"/>
          <w:b/>
          <w:sz w:val="28"/>
        </w:rPr>
        <w:t xml:space="preserve"> 教学模块与学时配置总览</w:t>
      </w:r>
      <w:bookmarkEnd w:id="10"/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953"/>
        <w:gridCol w:w="1953"/>
        <w:gridCol w:w="1953"/>
        <w:gridCol w:w="1953"/>
        <w:gridCol w:w="1953"/>
      </w:tblGrid>
      <w:tr>
        <w:tc>
          <w:tcPr>
            <w:tcW w:type="dxa" w:w="1953"/>
            <w:vAlign w:val="center"/>
            <w:shd w:fill="1F4E78"/>
          </w:tcPr>
          <w:p>
            <w:pPr>
              <w:spacing w:line="300" w:lineRule="auto" w:after="0"/>
              <w:jc w:val="center"/>
            </w:pPr>
            <w:r>
              <w:rPr>
                <w:rFonts w:ascii="宋体" w:hAnsi="宋体" w:cs="宋体" w:eastAsia="宋体"/>
                <w:b/>
                <w:color w:val="FFFFFF"/>
                <w:sz w:val="21"/>
              </w:rPr>
              <w:t>模块主题</w:t>
            </w:r>
          </w:p>
        </w:tc>
        <w:tc>
          <w:tcPr>
            <w:tcW w:type="dxa" w:w="1953"/>
            <w:vAlign w:val="center"/>
            <w:shd w:fill="1F4E78"/>
          </w:tcPr>
          <w:p>
            <w:pPr>
              <w:spacing w:line="300" w:lineRule="auto" w:after="0"/>
              <w:jc w:val="center"/>
            </w:pPr>
            <w:r>
              <w:rPr>
                <w:rFonts w:ascii="宋体" w:hAnsi="宋体" w:cs="宋体" w:eastAsia="宋体"/>
                <w:b/>
                <w:color w:val="FFFFFF"/>
                <w:sz w:val="21"/>
              </w:rPr>
              <w:t>核心内容</w:t>
            </w:r>
          </w:p>
        </w:tc>
        <w:tc>
          <w:tcPr>
            <w:tcW w:type="dxa" w:w="1953"/>
            <w:vAlign w:val="center"/>
            <w:shd w:fill="1F4E78"/>
          </w:tcPr>
          <w:p>
            <w:pPr>
              <w:spacing w:line="300" w:lineRule="auto" w:after="0"/>
              <w:jc w:val="center"/>
            </w:pPr>
            <w:r>
              <w:rPr>
                <w:rFonts w:ascii="宋体" w:hAnsi="宋体" w:cs="宋体" w:eastAsia="宋体"/>
                <w:b/>
                <w:color w:val="FFFFFF"/>
                <w:sz w:val="21"/>
              </w:rPr>
              <w:t>学时分配</w:t>
            </w:r>
          </w:p>
        </w:tc>
        <w:tc>
          <w:tcPr>
            <w:tcW w:type="dxa" w:w="1953"/>
            <w:vAlign w:val="center"/>
            <w:shd w:fill="1F4E78"/>
          </w:tcPr>
          <w:p>
            <w:pPr>
              <w:spacing w:line="300" w:lineRule="auto" w:after="0"/>
              <w:jc w:val="center"/>
            </w:pPr>
            <w:r>
              <w:rPr>
                <w:rFonts w:ascii="宋体" w:hAnsi="宋体" w:cs="宋体" w:eastAsia="宋体"/>
                <w:b/>
                <w:color w:val="FFFFFF"/>
                <w:sz w:val="21"/>
              </w:rPr>
              <w:t>支撑资源</w:t>
            </w:r>
          </w:p>
        </w:tc>
        <w:tc>
          <w:tcPr>
            <w:tcW w:type="dxa" w:w="1953"/>
            <w:vAlign w:val="center"/>
            <w:shd w:fill="1F4E78"/>
          </w:tcPr>
          <w:p>
            <w:pPr>
              <w:spacing w:line="300" w:lineRule="auto" w:after="0"/>
              <w:jc w:val="center"/>
            </w:pPr>
            <w:r>
              <w:rPr>
                <w:rFonts w:ascii="宋体" w:hAnsi="宋体" w:cs="宋体" w:eastAsia="宋体"/>
                <w:b/>
                <w:color w:val="FFFFFF"/>
                <w:sz w:val="21"/>
              </w:rPr>
              <w:t>阶段产出</w:t>
            </w:r>
          </w:p>
        </w:tc>
      </w:tr>
      <w:tr>
        <w:tc>
          <w:tcPr>
            <w:tcW w:type="dxa" w:w="1953"/>
            <w:vAlign w:val="center"/>
          </w:tcPr>
          <w:p>
            <w:pPr>
              <w:spacing w:line="300" w:lineRule="auto" w:after="0"/>
              <w:jc w:val="left"/>
            </w:pPr>
            <w:r>
              <w:rPr>
                <w:rFonts w:ascii="宋体" w:hAnsi="宋体" w:cs="宋体" w:eastAsia="宋体"/>
                <w:b w:val="0"/>
                <w:sz w:val="21"/>
              </w:rPr>
              <w:t>遥感检测任务与数据集认知</w:t>
            </w:r>
          </w:p>
        </w:tc>
        <w:tc>
          <w:tcPr>
            <w:tcW w:type="dxa" w:w="1953"/>
            <w:vAlign w:val="center"/>
          </w:tcPr>
          <w:p>
            <w:pPr>
              <w:spacing w:line="300" w:lineRule="auto" w:after="0"/>
              <w:jc w:val="left"/>
            </w:pPr>
            <w:r>
              <w:rPr>
                <w:rFonts w:ascii="宋体" w:hAnsi="宋体" w:cs="宋体" w:eastAsia="宋体"/>
                <w:b w:val="0"/>
                <w:sz w:val="21"/>
              </w:rPr>
              <w:t>遥感检测应用场景；光学 / SAR 成像差异；三类核心数据集的版本、许可与标注规范</w:t>
            </w:r>
          </w:p>
        </w:tc>
        <w:tc>
          <w:tcPr>
            <w:tcW w:type="dxa" w:w="1953"/>
            <w:vAlign w:val="center"/>
          </w:tcPr>
          <w:p>
            <w:pPr>
              <w:spacing w:line="300" w:lineRule="auto" w:after="0"/>
              <w:jc w:val="left"/>
            </w:pPr>
            <w:r>
              <w:rPr>
                <w:rFonts w:ascii="宋体" w:hAnsi="宋体" w:cs="宋体" w:eastAsia="宋体"/>
                <w:b w:val="0"/>
                <w:sz w:val="21"/>
              </w:rPr>
              <w:t>4 学时（讲授 2 + 实操 2）</w:t>
            </w:r>
          </w:p>
        </w:tc>
        <w:tc>
          <w:tcPr>
            <w:tcW w:type="dxa" w:w="1953"/>
            <w:vAlign w:val="center"/>
          </w:tcPr>
          <w:p>
            <w:pPr>
              <w:spacing w:line="300" w:lineRule="auto" w:after="0"/>
              <w:jc w:val="left"/>
            </w:pPr>
            <w:r>
              <w:rPr>
                <w:rFonts w:ascii="宋体" w:hAnsi="宋体" w:cs="宋体" w:eastAsia="宋体"/>
                <w:b w:val="0"/>
                <w:sz w:val="21"/>
              </w:rPr>
              <w:t>数据集说明文档、知识点手册</w:t>
            </w:r>
          </w:p>
        </w:tc>
        <w:tc>
          <w:tcPr>
            <w:tcW w:type="dxa" w:w="1953"/>
            <w:vAlign w:val="center"/>
          </w:tcPr>
          <w:p>
            <w:pPr>
              <w:spacing w:line="300" w:lineRule="auto" w:after="0"/>
              <w:jc w:val="left"/>
            </w:pPr>
            <w:r>
              <w:rPr>
                <w:rFonts w:ascii="宋体" w:hAnsi="宋体" w:cs="宋体" w:eastAsia="宋体"/>
                <w:b w:val="0"/>
                <w:sz w:val="21"/>
              </w:rPr>
              <w:t>数据版本清单、标注可视化结果、合规性检查记录</w:t>
            </w:r>
          </w:p>
        </w:tc>
      </w:tr>
      <w:tr>
        <w:tc>
          <w:tcPr>
            <w:tcW w:type="dxa" w:w="1953"/>
            <w:vAlign w:val="center"/>
            <w:shd w:fill="F2F6FA"/>
          </w:tcPr>
          <w:p>
            <w:pPr>
              <w:spacing w:line="300" w:lineRule="auto" w:after="0"/>
              <w:jc w:val="left"/>
            </w:pPr>
            <w:r>
              <w:rPr>
                <w:rFonts w:ascii="宋体" w:hAnsi="宋体" w:cs="宋体" w:eastAsia="宋体"/>
                <w:b w:val="0"/>
                <w:sz w:val="21"/>
              </w:rPr>
              <w:t>数据处理与评价指标</w:t>
            </w:r>
          </w:p>
        </w:tc>
        <w:tc>
          <w:tcPr>
            <w:tcW w:type="dxa" w:w="1953"/>
            <w:vAlign w:val="center"/>
            <w:shd w:fill="F2F6FA"/>
          </w:tcPr>
          <w:p>
            <w:pPr>
              <w:spacing w:line="300" w:lineRule="auto" w:after="0"/>
              <w:jc w:val="left"/>
            </w:pPr>
            <w:r>
              <w:rPr>
                <w:rFonts w:ascii="宋体" w:hAnsi="宋体" w:cs="宋体" w:eastAsia="宋体"/>
                <w:b w:val="0"/>
                <w:sz w:val="21"/>
              </w:rPr>
              <w:t>四类标注格式转换；滑窗切片与数据划分；检测评价指标计算；NMS 参数作用</w:t>
            </w:r>
          </w:p>
        </w:tc>
        <w:tc>
          <w:tcPr>
            <w:tcW w:type="dxa" w:w="1953"/>
            <w:vAlign w:val="center"/>
            <w:shd w:fill="F2F6FA"/>
          </w:tcPr>
          <w:p>
            <w:pPr>
              <w:spacing w:line="300" w:lineRule="auto" w:after="0"/>
              <w:jc w:val="left"/>
            </w:pPr>
            <w:r>
              <w:rPr>
                <w:rFonts w:ascii="宋体" w:hAnsi="宋体" w:cs="宋体" w:eastAsia="宋体"/>
                <w:b w:val="0"/>
                <w:sz w:val="21"/>
              </w:rPr>
              <w:t>4 学时（讲授 2 + 练习 2）</w:t>
            </w:r>
          </w:p>
        </w:tc>
        <w:tc>
          <w:tcPr>
            <w:tcW w:type="dxa" w:w="1953"/>
            <w:vAlign w:val="center"/>
            <w:shd w:fill="F2F6FA"/>
          </w:tcPr>
          <w:p>
            <w:pPr>
              <w:spacing w:line="300" w:lineRule="auto" w:after="0"/>
              <w:jc w:val="left"/>
            </w:pPr>
            <w:r>
              <w:rPr>
                <w:rFonts w:ascii="宋体" w:hAnsi="宋体" w:cs="宋体" w:eastAsia="宋体"/>
                <w:b w:val="0"/>
                <w:sz w:val="21"/>
              </w:rPr>
              <w:t>知识点手册、坐标转换练习脚本</w:t>
            </w:r>
          </w:p>
        </w:tc>
        <w:tc>
          <w:tcPr>
            <w:tcW w:type="dxa" w:w="1953"/>
            <w:vAlign w:val="center"/>
            <w:shd w:fill="F2F6FA"/>
          </w:tcPr>
          <w:p>
            <w:pPr>
              <w:spacing w:line="300" w:lineRule="auto" w:after="0"/>
              <w:jc w:val="left"/>
            </w:pPr>
            <w:r>
              <w:rPr>
                <w:rFonts w:ascii="宋体" w:hAnsi="宋体" w:cs="宋体" w:eastAsia="宋体"/>
                <w:b w:val="0"/>
                <w:sz w:val="21"/>
              </w:rPr>
              <w:t>数据处理脚本、指标计算结果、格式转换记录</w:t>
            </w:r>
          </w:p>
        </w:tc>
      </w:tr>
      <w:tr>
        <w:tc>
          <w:tcPr>
            <w:tcW w:type="dxa" w:w="1953"/>
            <w:vAlign w:val="center"/>
          </w:tcPr>
          <w:p>
            <w:pPr>
              <w:spacing w:line="300" w:lineRule="auto" w:after="0"/>
              <w:jc w:val="left"/>
            </w:pPr>
            <w:r>
              <w:rPr>
                <w:rFonts w:ascii="宋体" w:hAnsi="宋体" w:cs="宋体" w:eastAsia="宋体"/>
                <w:b w:val="0"/>
                <w:sz w:val="21"/>
              </w:rPr>
              <w:t>检测模型原理与调试方法</w:t>
            </w:r>
          </w:p>
        </w:tc>
        <w:tc>
          <w:tcPr>
            <w:tcW w:type="dxa" w:w="1953"/>
            <w:vAlign w:val="center"/>
          </w:tcPr>
          <w:p>
            <w:pPr>
              <w:spacing w:line="300" w:lineRule="auto" w:after="0"/>
              <w:jc w:val="left"/>
            </w:pPr>
            <w:r>
              <w:rPr>
                <w:rFonts w:ascii="宋体" w:hAnsi="宋体" w:cs="宋体" w:eastAsia="宋体"/>
                <w:b w:val="0"/>
                <w:sz w:val="21"/>
              </w:rPr>
              <w:t>三类检测范式结构对比；旋转框检测原理；轻量化与部署特性；训练曲线诊断</w:t>
            </w:r>
          </w:p>
        </w:tc>
        <w:tc>
          <w:tcPr>
            <w:tcW w:type="dxa" w:w="1953"/>
            <w:vAlign w:val="center"/>
          </w:tcPr>
          <w:p>
            <w:pPr>
              <w:spacing w:line="300" w:lineRule="auto" w:after="0"/>
              <w:jc w:val="left"/>
            </w:pPr>
            <w:r>
              <w:rPr>
                <w:rFonts w:ascii="宋体" w:hAnsi="宋体" w:cs="宋体" w:eastAsia="宋体"/>
                <w:b w:val="0"/>
                <w:sz w:val="21"/>
              </w:rPr>
              <w:t>4 学时（讲授 2 + 调试 2）</w:t>
            </w:r>
          </w:p>
        </w:tc>
        <w:tc>
          <w:tcPr>
            <w:tcW w:type="dxa" w:w="1953"/>
            <w:vAlign w:val="center"/>
          </w:tcPr>
          <w:p>
            <w:pPr>
              <w:spacing w:line="300" w:lineRule="auto" w:after="0"/>
              <w:jc w:val="left"/>
            </w:pPr>
            <w:r>
              <w:rPr>
                <w:rFonts w:ascii="宋体" w:hAnsi="宋体" w:cs="宋体" w:eastAsia="宋体"/>
                <w:b w:val="0"/>
                <w:sz w:val="21"/>
              </w:rPr>
              <w:t>知识点手册、最小训练样例代码</w:t>
            </w:r>
          </w:p>
        </w:tc>
        <w:tc>
          <w:tcPr>
            <w:tcW w:type="dxa" w:w="1953"/>
            <w:vAlign w:val="center"/>
          </w:tcPr>
          <w:p>
            <w:pPr>
              <w:spacing w:line="300" w:lineRule="auto" w:after="0"/>
              <w:jc w:val="left"/>
            </w:pPr>
            <w:r>
              <w:rPr>
                <w:rFonts w:ascii="宋体" w:hAnsi="宋体" w:cs="宋体" w:eastAsia="宋体"/>
                <w:b w:val="0"/>
                <w:sz w:val="21"/>
              </w:rPr>
              <w:t>模型调试记录、异常现象识别分析</w:t>
            </w:r>
          </w:p>
        </w:tc>
      </w:tr>
      <w:tr>
        <w:tc>
          <w:tcPr>
            <w:tcW w:type="dxa" w:w="1953"/>
            <w:vAlign w:val="center"/>
            <w:shd w:fill="F2F6FA"/>
          </w:tcPr>
          <w:p>
            <w:pPr>
              <w:spacing w:line="300" w:lineRule="auto" w:after="0"/>
              <w:jc w:val="left"/>
            </w:pPr>
            <w:r>
              <w:rPr>
                <w:rFonts w:ascii="宋体" w:hAnsi="宋体" w:cs="宋体" w:eastAsia="宋体"/>
                <w:b w:val="0"/>
                <w:sz w:val="21"/>
              </w:rPr>
              <w:t>基础水平框检测实训</w:t>
            </w:r>
          </w:p>
        </w:tc>
        <w:tc>
          <w:tcPr>
            <w:tcW w:type="dxa" w:w="1953"/>
            <w:vAlign w:val="center"/>
            <w:shd w:fill="F2F6FA"/>
          </w:tcPr>
          <w:p>
            <w:pPr>
              <w:spacing w:line="300" w:lineRule="auto" w:after="0"/>
              <w:jc w:val="left"/>
            </w:pPr>
            <w:r>
              <w:rPr>
                <w:rFonts w:ascii="宋体" w:hAnsi="宋体" w:cs="宋体" w:eastAsia="宋体"/>
                <w:b w:val="0"/>
                <w:sz w:val="21"/>
              </w:rPr>
              <w:t>Faster R-CNN 全流程训练；YOLOv8 参数调优；水平框检测误差分析</w:t>
            </w:r>
          </w:p>
        </w:tc>
        <w:tc>
          <w:tcPr>
            <w:tcW w:type="dxa" w:w="1953"/>
            <w:vAlign w:val="center"/>
            <w:shd w:fill="F2F6FA"/>
          </w:tcPr>
          <w:p>
            <w:pPr>
              <w:spacing w:line="300" w:lineRule="auto" w:after="0"/>
              <w:jc w:val="left"/>
            </w:pPr>
            <w:r>
              <w:rPr>
                <w:rFonts w:ascii="宋体" w:hAnsi="宋体" w:cs="宋体" w:eastAsia="宋体"/>
                <w:b w:val="0"/>
                <w:sz w:val="21"/>
              </w:rPr>
              <w:t>8 学时（分两次实验）</w:t>
            </w:r>
          </w:p>
        </w:tc>
        <w:tc>
          <w:tcPr>
            <w:tcW w:type="dxa" w:w="1953"/>
            <w:vAlign w:val="center"/>
            <w:shd w:fill="F2F6FA"/>
          </w:tcPr>
          <w:p>
            <w:pPr>
              <w:spacing w:line="300" w:lineRule="auto" w:after="0"/>
              <w:jc w:val="left"/>
            </w:pPr>
            <w:r>
              <w:rPr>
                <w:rFonts w:ascii="宋体" w:hAnsi="宋体" w:cs="宋体" w:eastAsia="宋体"/>
                <w:b w:val="0"/>
                <w:sz w:val="21"/>
              </w:rPr>
              <w:t>实验 1、2 实训方案、配套代码库</w:t>
            </w:r>
          </w:p>
        </w:tc>
        <w:tc>
          <w:tcPr>
            <w:tcW w:type="dxa" w:w="1953"/>
            <w:vAlign w:val="center"/>
            <w:shd w:fill="F2F6FA"/>
          </w:tcPr>
          <w:p>
            <w:pPr>
              <w:spacing w:line="300" w:lineRule="auto" w:after="0"/>
              <w:jc w:val="left"/>
            </w:pPr>
            <w:r>
              <w:rPr>
                <w:rFonts w:ascii="宋体" w:hAnsi="宋体" w:cs="宋体" w:eastAsia="宋体"/>
                <w:b w:val="0"/>
                <w:sz w:val="21"/>
              </w:rPr>
              <w:t>两套水平框检测基线、性能对比报告、错误样本分析</w:t>
            </w:r>
          </w:p>
        </w:tc>
      </w:tr>
      <w:tr>
        <w:tc>
          <w:tcPr>
            <w:tcW w:type="dxa" w:w="1953"/>
            <w:vAlign w:val="center"/>
          </w:tcPr>
          <w:p>
            <w:pPr>
              <w:spacing w:line="300" w:lineRule="auto" w:after="0"/>
              <w:jc w:val="left"/>
            </w:pPr>
            <w:r>
              <w:rPr>
                <w:rFonts w:ascii="宋体" w:hAnsi="宋体" w:cs="宋体" w:eastAsia="宋体"/>
                <w:b w:val="0"/>
                <w:sz w:val="21"/>
              </w:rPr>
              <w:t>遥感专属旋转目标检测实训</w:t>
            </w:r>
          </w:p>
        </w:tc>
        <w:tc>
          <w:tcPr>
            <w:tcW w:type="dxa" w:w="1953"/>
            <w:vAlign w:val="center"/>
          </w:tcPr>
          <w:p>
            <w:pPr>
              <w:spacing w:line="300" w:lineRule="auto" w:after="0"/>
              <w:jc w:val="left"/>
            </w:pPr>
            <w:r>
              <w:rPr>
                <w:rFonts w:ascii="宋体" w:hAnsi="宋体" w:cs="宋体" w:eastAsia="宋体"/>
                <w:b w:val="0"/>
                <w:sz w:val="21"/>
              </w:rPr>
              <w:t>DOTA 数据切片与坐标变换；四边形标注校验；旋转框训练与结果拼接</w:t>
            </w:r>
          </w:p>
        </w:tc>
        <w:tc>
          <w:tcPr>
            <w:tcW w:type="dxa" w:w="1953"/>
            <w:vAlign w:val="center"/>
          </w:tcPr>
          <w:p>
            <w:pPr>
              <w:spacing w:line="300" w:lineRule="auto" w:after="0"/>
              <w:jc w:val="left"/>
            </w:pPr>
            <w:r>
              <w:rPr>
                <w:rFonts w:ascii="宋体" w:hAnsi="宋体" w:cs="宋体" w:eastAsia="宋体"/>
                <w:b w:val="0"/>
                <w:sz w:val="21"/>
              </w:rPr>
              <w:t>8 学时（分两次实验）</w:t>
            </w:r>
          </w:p>
        </w:tc>
        <w:tc>
          <w:tcPr>
            <w:tcW w:type="dxa" w:w="1953"/>
            <w:vAlign w:val="center"/>
          </w:tcPr>
          <w:p>
            <w:pPr>
              <w:spacing w:line="300" w:lineRule="auto" w:after="0"/>
              <w:jc w:val="left"/>
            </w:pPr>
            <w:r>
              <w:rPr>
                <w:rFonts w:ascii="宋体" w:hAnsi="宋体" w:cs="宋体" w:eastAsia="宋体"/>
                <w:b w:val="0"/>
                <w:sz w:val="21"/>
              </w:rPr>
              <w:t>实验 3 实训方案、切片拼接工具</w:t>
            </w:r>
          </w:p>
        </w:tc>
        <w:tc>
          <w:tcPr>
            <w:tcW w:type="dxa" w:w="1953"/>
            <w:vAlign w:val="center"/>
          </w:tcPr>
          <w:p>
            <w:pPr>
              <w:spacing w:line="300" w:lineRule="auto" w:after="0"/>
              <w:jc w:val="left"/>
            </w:pPr>
            <w:r>
              <w:rPr>
                <w:rFonts w:ascii="宋体" w:hAnsi="宋体" w:cs="宋体" w:eastAsia="宋体"/>
                <w:b w:val="0"/>
                <w:sz w:val="21"/>
              </w:rPr>
              <w:t>旋转框检测全流程结果、OBB 精度分析、朝向误差报告</w:t>
            </w:r>
          </w:p>
        </w:tc>
      </w:tr>
      <w:tr>
        <w:tc>
          <w:tcPr>
            <w:tcW w:type="dxa" w:w="1953"/>
            <w:vAlign w:val="center"/>
            <w:shd w:fill="F2F6FA"/>
          </w:tcPr>
          <w:p>
            <w:pPr>
              <w:spacing w:line="300" w:lineRule="auto" w:after="0"/>
              <w:jc w:val="left"/>
            </w:pPr>
            <w:r>
              <w:rPr>
                <w:rFonts w:ascii="宋体" w:hAnsi="宋体" w:cs="宋体" w:eastAsia="宋体"/>
                <w:b w:val="0"/>
                <w:sz w:val="21"/>
              </w:rPr>
              <w:t>模型对比与部署综合实训</w:t>
            </w:r>
          </w:p>
        </w:tc>
        <w:tc>
          <w:tcPr>
            <w:tcW w:type="dxa" w:w="1953"/>
            <w:vAlign w:val="center"/>
            <w:shd w:fill="F2F6FA"/>
          </w:tcPr>
          <w:p>
            <w:pPr>
              <w:spacing w:line="300" w:lineRule="auto" w:after="0"/>
              <w:jc w:val="left"/>
            </w:pPr>
            <w:r>
              <w:rPr>
                <w:rFonts w:ascii="宋体" w:hAnsi="宋体" w:cs="宋体" w:eastAsia="宋体"/>
                <w:b w:val="0"/>
                <w:sz w:val="21"/>
              </w:rPr>
              <w:t>Transformer 检测模型特性；轻量化模型剪枝量化；ONNX 导出与速度测试</w:t>
            </w:r>
          </w:p>
        </w:tc>
        <w:tc>
          <w:tcPr>
            <w:tcW w:type="dxa" w:w="1953"/>
            <w:vAlign w:val="center"/>
            <w:shd w:fill="F2F6FA"/>
          </w:tcPr>
          <w:p>
            <w:pPr>
              <w:spacing w:line="300" w:lineRule="auto" w:after="0"/>
              <w:jc w:val="left"/>
            </w:pPr>
            <w:r>
              <w:rPr>
                <w:rFonts w:ascii="宋体" w:hAnsi="宋体" w:cs="宋体" w:eastAsia="宋体"/>
                <w:b w:val="0"/>
                <w:sz w:val="21"/>
              </w:rPr>
              <w:t>20 学时（分三次实验）</w:t>
            </w:r>
          </w:p>
        </w:tc>
        <w:tc>
          <w:tcPr>
            <w:tcW w:type="dxa" w:w="1953"/>
            <w:vAlign w:val="center"/>
            <w:shd w:fill="F2F6FA"/>
          </w:tcPr>
          <w:p>
            <w:pPr>
              <w:spacing w:line="300" w:lineRule="auto" w:after="0"/>
              <w:jc w:val="left"/>
            </w:pPr>
            <w:r>
              <w:rPr>
                <w:rFonts w:ascii="宋体" w:hAnsi="宋体" w:cs="宋体" w:eastAsia="宋体"/>
                <w:b w:val="0"/>
                <w:sz w:val="21"/>
              </w:rPr>
              <w:t>实验 4、5 实训方案、部署工具链</w:t>
            </w:r>
          </w:p>
        </w:tc>
        <w:tc>
          <w:tcPr>
            <w:tcW w:type="dxa" w:w="1953"/>
            <w:vAlign w:val="center"/>
            <w:shd w:fill="F2F6FA"/>
          </w:tcPr>
          <w:p>
            <w:pPr>
              <w:spacing w:line="300" w:lineRule="auto" w:after="0"/>
              <w:jc w:val="left"/>
            </w:pPr>
            <w:r>
              <w:rPr>
                <w:rFonts w:ascii="宋体" w:hAnsi="宋体" w:cs="宋体" w:eastAsia="宋体"/>
                <w:b w:val="0"/>
                <w:sz w:val="21"/>
              </w:rPr>
              <w:t>多模型性能对比报告、部署测试结果、综合实验分析</w:t>
            </w:r>
          </w:p>
        </w:tc>
      </w:tr>
    </w:tbl>
    <w:p>
      <w:pPr>
        <w:spacing w:after="60"/>
      </w:pP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sz w:val="28"/>
        </w:rPr>
        <w:t>注：模型对比与部署综合实训可根据教学进度拓展为课程设计项目，但数据校验、性能评估、错误分析等核心环节不得压缩。</w:t>
      </w: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sz w:val="28"/>
        </w:rPr>
        <w:t>各模块的教学实施要点如下：</w:t>
      </w: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sz w:val="28"/>
        </w:rPr>
        <w:t>遥感检测任务与数据集认知是课程的入门载体，核心目标是建立对遥感目标检测任务的整体认知。教学中不局限于数据集本身的参数介绍，更侧重对比不同成像体制下检测任务的差异，明确光学遥感与 SAR 遥感在目标特性、干扰因素、预处理思路上的区别，同时强化数据许可与合规使用的工程规范，从入门阶段树立严谨的数据使用意识。</w:t>
      </w: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sz w:val="28"/>
        </w:rPr>
        <w:t>数据处理与评价指标是实验开展的方法基础，承接数据集认知落地到具体操作层面。标注格式部分重点讲清不同格式的适用场景与转换逻辑，特别强调遥感大幅影像切片的空间泄漏风险与防控原则；评价指标部分不只讲计算方法，更结合遥感场景解释每个指标的物理意义，比如小目标场景下召回率的重要性、密集场景下精确率的评价价值，让学习者理解指标背后的工程含义。</w:t>
      </w: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sz w:val="28"/>
        </w:rPr>
        <w:t>检测模型原理与调试方法是实验的理论支撑部分，面向后续实验需求讲解核心模型原理。教学中避免泛泛讲解模型结构，而是紧扣遥感检测的场景特点，对比两阶段、一阶段、Transformer 三类范式在多尺度、小目标、旋转目标场景下的适配性，同时加入训练曲线诊断的实操内容，培养学习者自主排查训练问题的能力。</w:t>
      </w: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sz w:val="28"/>
        </w:rPr>
        <w:t>基础水平框检测实训是第一阶段核心实训，以 DIOR 数据集为载体搭建完整检测流水线。该阶段重点是让学习者掌握目标检测的全流程逻辑，从数据读取、模型训练到指标评估形成完整闭环，同时通过两类模型的对比，理解不同检测范式的性能差异，初步建立误差分析的思路，为后续进阶实训打下流程基础。</w:t>
      </w: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sz w:val="28"/>
        </w:rPr>
        <w:t>遥感专属旋转目标检测实训是体现遥感特色的核心实训，也是从通用检测过渡到遥感检测的关键环节。该模块围绕 DOTA 数据集展开，重点突破滑窗切片、坐标变换、结果拼接等遥感专属处理技术，理解四边形标注相比水平框的优势与适用场景，掌握旋转目标检测的评价方法，形成适配遥感场景的检测技术能力。</w:t>
      </w: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sz w:val="28"/>
        </w:rPr>
        <w:t>模型对比与部署综合实训是综合能力提升环节，面向工程应用拓展检测技术边界。该模块开放性更强，通过 Transformer 模型、轻量化模型、部署测试三类内容，引导学习者跳出单纯的精度比拼，关注模型的适用场景、部署成本与性能权衡，同时鼓励自主设计对照实验，培养工程化的问题分析与方案优化能力。</w:t>
      </w:r>
    </w:p>
    <w:p>
      <w:pPr>
        <w:pStyle w:val="Heading2"/>
      </w:pPr>
      <w:r>
        <w:rPr>
          <w:rFonts w:ascii="等线" w:hAnsi="等线" w:cs="等线" w:eastAsia="等线"/>
          <w:b/>
          <w:sz w:val="26"/>
        </w:rPr>
        <w:t>2.4 教学实施路径</w:t>
      </w: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sz w:val="28"/>
        </w:rPr>
        <w:t>课程整体遵循 “先验证数据，再训练模型，最后解释结果” 的实施逻辑，按照能力成长规律分层推进，每个层级设置明确的准入校验标准，未通过前置校验不得进入下一环节，确保每一步实验都建立在可靠的基础之上，避免无效训练与错误结论。</w:t>
      </w:r>
    </w:p>
    <w:p>
      <w:pPr>
        <w:spacing w:line="360" w:lineRule="auto" w:after="120"/>
        <w:ind w:firstLine="0"/>
      </w:pPr>
      <w:r>
        <w:rPr>
          <w:rFonts w:ascii="宋体" w:hAnsi="宋体" w:eastAsia="宋体" w:cs="宋体"/>
          <w:b/>
          <w:sz w:val="28"/>
        </w:rPr>
        <w:t>（1）基础能力构建层</w:t>
      </w: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sz w:val="28"/>
        </w:rPr>
        <w:t>该层级以通用水平框检测为核心，搭建第一条完整的目标检测流水线，核心目标是建立 “类别 - 位置 - 置信度” 的检测基本认知。教学中以 DIOR 数据集为载体，从最通用的水平框检测入手降低入门门槛，让学习者先聚焦于检测流程本身，而非遥感数据的特殊性。每次正式训练启动前，必须完成数据最小验证：随机读取至少两张影像，完成标注叠加可视化，检查类别 ID 映射与坐标范围合法性，运行一个批次的前向计算验证链路通畅。数据校验不通过时，优先排查标注格式、路径配置等基础问题，不得直接启动长时间模型训练。</w:t>
      </w:r>
    </w:p>
    <w:p>
      <w:pPr>
        <w:spacing w:line="360" w:lineRule="auto" w:after="120"/>
        <w:ind w:firstLine="0"/>
      </w:pPr>
      <w:r>
        <w:rPr>
          <w:rFonts w:ascii="宋体" w:hAnsi="宋体" w:eastAsia="宋体" w:cs="宋体"/>
          <w:b/>
          <w:sz w:val="28"/>
        </w:rPr>
        <w:t>（2）专属能力进阶层</w:t>
      </w: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sz w:val="28"/>
        </w:rPr>
        <w:t>该层级引入旋转目标检测与大幅影像处理技术，聚焦遥感场景的专属问题，实现从通用检测到遥感检测的能力进阶。教学中以 DOTA 数据集为核心，重点讲解四边形标注的几何意义、顶点顺序的工程价值、滑窗切片的边界目标处理逻辑，通过对比水平框与旋转框在密集场景、朝向多变场景下的效果差异，让学习者深入理解遥感目标检测的技术特点。教学过程中可穿插 SAR 舰船检测案例，对比光学影像与 SAR 影像在成像噪声、通道特性、预处理策略上的差异，拓展对不同遥感体制检测任务的认知，丰富场景覆盖范围。</w:t>
      </w:r>
    </w:p>
    <w:p>
      <w:pPr>
        <w:spacing w:line="360" w:lineRule="auto" w:after="120"/>
        <w:ind w:firstLine="0"/>
      </w:pPr>
      <w:r>
        <w:rPr>
          <w:rFonts w:ascii="宋体" w:hAnsi="宋体" w:eastAsia="宋体" w:cs="宋体"/>
          <w:b/>
          <w:sz w:val="28"/>
        </w:rPr>
        <w:t>（3）综合能力提升层</w:t>
      </w: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sz w:val="28"/>
        </w:rPr>
        <w:t>该层级面向工程应用需求，拓展检测技术的深度与广度，培养综合设计与评估能力。教学中通过 Transformer 检测模型、轻量化模型、部署测试三类内容，将讨论范围延伸到模型收敛特性、精度 - 速度权衡、工程部署条件等进阶内容。该阶段鼓励自主设计单变量对照实验，探索输入尺寸、阈值、模型结构等因素对检测结果的影响规律，引导学习者跳出 “调参刷分” 的误区，转而关注模型的适用场景、部署成本与性能边界，建立面向工程应用的评估思维。该层级实验开放性较强，可根据学习者能力与兴趣选择拓展方向，支持个性化探究实践。</w:t>
      </w: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sz w:val="28"/>
        </w:rPr>
        <w:t>在课堂讲授的组织上，全程采用 “概念引入 — 现象可视化 — 操作验证” 的三段式逻辑，确保理论与实践紧密结合。讲解核心概念后立即结合遥感实例开展计算或操作练习，比如讲解 IoU 后结合目标实例手动计算、讲解 NMS 后对比不同阈值的检测效果、讲解旋转框后抽检顶点顺序正确性，所有原理讲解都对应可观察的实验现象，避免脱离实操的纯理论灌输。</w:t>
      </w:r>
    </w:p>
    <w:p>
      <w:pPr>
        <w:pStyle w:val="Heading2"/>
      </w:pPr>
      <w:r>
        <w:rPr>
          <w:rFonts w:ascii="等线" w:hAnsi="等线" w:cs="等线" w:eastAsia="等线"/>
          <w:b/>
          <w:sz w:val="26"/>
        </w:rPr>
        <w:t>2.5 教学组织与资源配置</w:t>
      </w: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sz w:val="28"/>
        </w:rPr>
        <w:t>课程采用小组协作的实训组织模式，配套标准化的硬件与资源配置体系，保障实验教学的有序开展与教学质量的一致性。</w:t>
      </w:r>
    </w:p>
    <w:p>
      <w:pPr>
        <w:spacing w:line="360" w:lineRule="auto" w:after="120"/>
        <w:ind w:firstLine="0"/>
      </w:pPr>
      <w:r>
        <w:rPr>
          <w:rFonts w:ascii="宋体" w:hAnsi="宋体" w:cs="宋体" w:eastAsia="宋体"/>
          <w:sz w:val="28"/>
        </w:rPr>
        <w:t>（1）小组协作组织模式</w:t>
      </w: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sz w:val="28"/>
        </w:rPr>
        <w:t>实验环节以2-3人为一组开展协作实训，每组设置数据管理员、训练记录员、结果分析员三类角色，角色在不同实验中轮换，确保所有参与人员均能掌握全流程技能，避免分工导致的技能片面化。其中数据管理员负责数据集版本管理、数据预处理、标注格式转换、标注质量校验，确保输入数据的准确性与合规性；训练记录员负责实验环境配置、模型参数设置、训练过程监控、日志文件记录，确保实验过程可追溯；结果分析员负责性能指标计算、检测结果可视化、错误样本归类分析、实验报告撰写，确保结论有数据支撑。所有参与人员均需参与阶段口头复盘，能够独立说明本组的数据划分方式、模型配置逻辑与主要错误类型，实现全员能力提升。</w:t>
      </w:r>
    </w:p>
    <w:p>
      <w:pPr>
        <w:spacing w:line="360" w:lineRule="auto" w:after="120"/>
        <w:ind w:firstLine="0"/>
      </w:pPr>
      <w:r>
        <w:rPr>
          <w:rFonts w:ascii="宋体" w:hAnsi="宋体" w:cs="宋体" w:eastAsia="宋体"/>
          <w:sz w:val="28"/>
        </w:rPr>
        <w:t>（2）硬件配置要求</w:t>
      </w: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sz w:val="28"/>
        </w:rPr>
        <w:t>实验硬件配置分为推荐配置与最低配置两个层级，可根据实际教学条件灵活选用。推荐配置为具备8GB及以上显存的NVIDIA GPU，可满足绝大多数基础与进阶实验的训练需求；旋转框检测、Transformer模型实验建议配置12GB及以上显存，以保障训练效率。最低配置为CPU环境，仅可完成数据审计、标注可视化、指标计算与小规模调试，无法完成完整模型训练，适用于理论学习与预处理练习。公共机房统一配置的实验环境，需预先安装依赖库、配置镜像源，确保所有设备的环境版本一致，避免因环境差异导致的结果波动，保障实验结果的可比性。当实验室显存配置不低于8GB时，可开展全部五套实验实训；若显存条件有限，可优先完成前四套基础与进阶实验，综合实训部分可采用示范运行与分组分析的形式开展，保障核心教学目标的达成。</w:t>
      </w:r>
    </w:p>
    <w:p>
      <w:pPr>
        <w:spacing w:line="360" w:lineRule="auto" w:after="120"/>
        <w:ind w:firstLine="0"/>
      </w:pPr>
      <w:r>
        <w:rPr>
          <w:rFonts w:ascii="宋体" w:hAnsi="宋体" w:cs="宋体" w:eastAsia="宋体"/>
          <w:sz w:val="28"/>
        </w:rPr>
        <w:t>（3）教学资源配置规范</w:t>
      </w: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sz w:val="28"/>
        </w:rPr>
        <w:t>教学实施前需完成数据资源、环境资源、代码资源、案例与阅读资源四类教学资源的准备，形成标准化的资源体系。数据资源需明确数据集版本、官方下载入口或合规镜像地址、数据校验哈希值、类别映射关系、教学子集划分方案，提前确认数据集许可范围，严禁超范围使用教学数据。环境资源需明确Python、CUDA、PyTorch等依赖的指定版本，提供环境安装说明文档、GPU环境检查脚本，可通过统一的conda环境文件实现一键环境部署。代码资源需提供结构规范的Jupyter Notebook、模块化Python代码库、实验配置模板、样例运行命令，代码需包含充足注释，关键步骤附加原理说明。案例与阅读资源需准备典型场景案例图、常见错误样本库、指定拓展论文阅读卡片，提前整理高频问题解答指引。教学用原始影像、完整标注包与预训练权重文件不得上传至公共代码仓库，具体使用限制严格遵循对应数据集的开源许可协议。</w:t>
      </w:r>
    </w:p>
    <w:p>
      <w:pPr>
        <w:pStyle w:val="Heading2"/>
      </w:pPr>
      <w:r>
        <w:rPr>
          <w:rFonts w:ascii="等线" w:hAnsi="等线" w:cs="等线" w:eastAsia="等线"/>
          <w:b/>
          <w:sz w:val="26"/>
        </w:rPr>
        <w:t>2.6 过程管理与风险控制</w:t>
      </w: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sz w:val="28"/>
        </w:rPr>
        <w:t>实验过程中的核心风险需在训练启动前完成预防与排查，建立前置防控机制，避免出现指标异常后再追溯问题，保障实验的可靠性与结果的有效性。</w:t>
      </w:r>
    </w:p>
    <w:p>
      <w:pPr>
        <w:spacing w:line="360" w:lineRule="auto" w:after="120"/>
        <w:ind w:firstLine="0"/>
      </w:pPr>
      <w:r>
        <w:rPr>
          <w:rFonts w:ascii="宋体" w:hAnsi="宋体" w:cs="宋体" w:eastAsia="宋体"/>
          <w:sz w:val="28"/>
        </w:rPr>
        <w:t>（1）数据泄漏风险防控</w:t>
      </w: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sz w:val="28"/>
        </w:rPr>
        <w:t>数据泄漏是遥感影像检测实验中的常见风险，主要源于同一大幅影像的切片同时出现在训练集与测试集中，导致模型提前“见过”测试场景，造成指标虚高。预防层面，数据集划分严格以原始完整影像或独立地理场景为最小单位，同一幅大图裁切出的相邻切片不得同时出现在训练集与测试集中；不同地理区域的影像需均匀分布至各子集，避免出现场景偏差；切片重叠区域的标注需按统一规则处理，不得重复计数。一旦发现存在空间信息泄漏问题，立即停止使用当前实验指标，重新划分数据集并记录对结果的影响，已完成的训练结果仅作参考，不得作为最终实验结论。</w:t>
      </w:r>
    </w:p>
    <w:p>
      <w:pPr>
        <w:spacing w:line="360" w:lineRule="auto" w:after="120"/>
        <w:ind w:firstLine="0"/>
      </w:pPr>
      <w:r>
        <w:rPr>
          <w:rFonts w:ascii="宋体" w:hAnsi="宋体" w:cs="宋体" w:eastAsia="宋体"/>
          <w:sz w:val="28"/>
        </w:rPr>
        <w:t>（2）标注错误风险防控</w:t>
      </w: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sz w:val="28"/>
        </w:rPr>
        <w:t>标注错误会直接影响模型训练效果与评估准确性，常见问题包括类别ID映射错误、坐标越界、空标注、OBB顶点顺序混乱等。预防层面，每批次数据使用前，随机可视化至少20张影像的标注结果，重点检查上述四类常见问题；格式转换后需抽样校验转换精度，避免坐标偏移或缩放错误。发现系统性标注错误时，修复格式转换规则或剔除非法样本后重新生成数据清单；少量样本错误可标记为困难样本，统计时单独说明，不得直接删除后不做记录，确保数据处理过程可追溯。</w:t>
      </w:r>
    </w:p>
    <w:p>
      <w:pPr>
        <w:spacing w:line="360" w:lineRule="auto" w:after="120"/>
        <w:ind w:firstLine="0"/>
      </w:pPr>
      <w:r>
        <w:rPr>
          <w:rFonts w:ascii="宋体" w:hAnsi="宋体" w:cs="宋体" w:eastAsia="宋体"/>
          <w:sz w:val="28"/>
        </w:rPr>
        <w:t>（3）环境不一致风险防控</w:t>
      </w: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sz w:val="28"/>
        </w:rPr>
        <w:t>环境差异会导致实验结果波动，影响结果的可比性与可复现性。预防层面，所有实验固定依赖库版本，统一记录GPU型号、CUDA版本、深度学习框架版本与随机种子；提供标准化环境配置文件，确保不同设备的运行环境一致。出现运行报错时，保存完整原始报错信息，按照“安装问题-导入问题-数据读取问题-训练问题”的顺序逐层定位；因环境差异导致的结果波动，需在实验报告中明确说明，作为结果的误差范围参考。</w:t>
      </w:r>
    </w:p>
    <w:p>
      <w:pPr>
        <w:spacing w:line="360" w:lineRule="auto" w:after="120"/>
        <w:ind w:firstLine="0"/>
      </w:pPr>
      <w:r>
        <w:rPr>
          <w:rFonts w:ascii="宋体" w:hAnsi="宋体" w:cs="宋体" w:eastAsia="宋体"/>
          <w:sz w:val="28"/>
        </w:rPr>
        <w:t>（4）显存不足风险防控</w:t>
      </w: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sz w:val="28"/>
        </w:rPr>
        <w:t>显存不足是深度学习实验中的高频问题，尤其在大尺寸影像、大批次训练场景中容易出现。预防层面，正式训练前先运行最小批次测试，根据输入尺寸、切片数量、模型参数量预估显存占用与权重存储空间；大尺寸影像实验提前测算显存峰值，预留充足的显存余量。出现显存溢出时，优先降低批次大小（batch size），也可采用梯度累积、混合精度训练等方式优化显存占用；必要时缩小教学子集规模，每次仅调整一个变量，便于定位变量对结果的影响，避免多变量同时调整导致的结果不可解释。</w:t>
      </w:r>
    </w:p>
    <w:p>
      <w:pPr>
        <w:spacing w:line="360" w:lineRule="auto" w:after="120"/>
        <w:ind w:firstLine="0"/>
      </w:pPr>
      <w:r>
        <w:rPr>
          <w:rFonts w:ascii="宋体" w:hAnsi="宋体" w:cs="宋体" w:eastAsia="宋体"/>
          <w:sz w:val="28"/>
        </w:rPr>
        <w:t>（5）指标误读风险防控</w:t>
      </w: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sz w:val="28"/>
        </w:rPr>
        <w:t>单一指标容易造成对模型性能的片面判断，尤其是mAP指标容易掩盖长尾类别的性能缺陷。预防层面，实验结果需同时报告精确率、召回率、mAP、IoU阈值与每类别AP五项核心指标，不得仅用单一mAP代表整体性能；指标计算严格遵循统一的评价协议，明确IoU阈值设置，避免评价标准不一致导致的结果对比失效。发现指标异常偏高或偏低时，对照预测可视化结果、PR曲线与错误样本综合分析，排查评价标准不一致、类别混淆、数据泄漏等问题，避免仅凭数值判断模型优劣，建立多维度的性能评估思维。</w:t>
      </w:r>
    </w:p>
    <w:p>
      <w:pPr>
        <w:spacing w:line="360" w:lineRule="auto" w:after="120"/>
        <w:ind w:firstLine="0"/>
      </w:pPr>
      <w:r>
        <w:rPr>
          <w:rFonts w:ascii="宋体" w:hAnsi="宋体" w:cs="宋体" w:eastAsia="宋体"/>
          <w:sz w:val="28"/>
        </w:rPr>
        <w:t>（6）实验过程记录规范</w:t>
      </w: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sz w:val="28"/>
        </w:rPr>
        <w:t>每组需维护标准化实验日志文件（experiment_log.csv），建立完整的实验记录体系。日志至少记录实验日期、数据集版本、训练/验证/测试划分方式、随机种子、模型名称、输入尺寸、批次大小、学习率、硬件环境、关键性能指标、本次实验的唯一变量等信息。训练异常、无效尝试与问题修复过程同样需完整记录，不得仅提交最终一次成功运行的结果。完整的过程记录是实验可复现的基础，也是问题定位与分析的重要依据，需贯穿课程所有实验环节。</w:t>
      </w:r>
    </w:p>
    <w:p>
      <w:pPr>
        <w:pStyle w:val="Heading2"/>
      </w:pPr>
      <w:r>
        <w:rPr>
          <w:rFonts w:ascii="等线" w:hAnsi="等线" w:cs="等线" w:eastAsia="等线"/>
          <w:b/>
          <w:sz w:val="26"/>
        </w:rPr>
        <w:t>2.7 考核方式</w:t>
      </w: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sz w:val="28"/>
        </w:rPr>
        <w:t>课程采用过程性评价与综合评价相结合的考核方式，总评满分100分。考核以实验证据的完整性、问题分析的深度为核心导向，不以绝对mAP数值作为排名依据；不同硬件配置、不同教学子集下的实验结果，不直接比较绝对精度与推理速度，保障考核的公平性。</w:t>
      </w:r>
    </w:p>
    <w:p>
      <w:pPr>
        <w:spacing w:line="360" w:lineRule="auto" w:after="120"/>
        <w:ind w:firstLine="0"/>
      </w:pPr>
      <w:r>
        <w:rPr>
          <w:rFonts w:ascii="宋体" w:hAnsi="宋体" w:cs="宋体" w:eastAsia="宋体"/>
          <w:sz w:val="28"/>
        </w:rPr>
        <w:t>（1）考核总体原则</w:t>
      </w: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sz w:val="28"/>
        </w:rPr>
        <w:t>考核坚持“过程重于结果、能力重于分数”的原则，重点考察学习者的实验操作能力、问题分析能力与工程规范素养，而非单纯的模型精度排名。所有考核内容均对应课程教学目标，覆盖数据、原理、实践、设计、规范五个维度，全面评价学习者的综合能力。实验考核设置明确的验收标准，注重证据的可追溯性与可复现性，所有结论均需有对应的数据与现象支撑，引导学习者建立严谨的工程态度。</w:t>
      </w:r>
    </w:p>
    <w:p>
      <w:pPr>
        <w:spacing w:line="360" w:lineRule="auto" w:after="120"/>
        <w:ind w:firstLine="0"/>
      </w:pPr>
      <w:r>
        <w:rPr>
          <w:rFonts w:ascii="宋体" w:hAnsi="宋体" w:cs="宋体" w:eastAsia="宋体"/>
          <w:sz w:val="28"/>
        </w:rPr>
        <w:t>（2）分项考核标准</w:t>
      </w: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sz w:val="28"/>
        </w:rPr>
        <w:t>考核共设置六个项目，各项目的分值占比与判定依据如下。数据与标注检查占20%，主要考察数据集版本与许可记录完整性、标注可视化准确性、类别映射与坐标核验正确率、数据统计分析的全面性；实验过程与复现性占20%，主要考察实验配置的完整性、训练日志与运行命令及随机种子的记录规范性、环境信息的完备性、最小验证样例的完成质量；原理理解占15%，主要考察IoU等核心指标的解释准确性、不同检测模型的机制理解、课堂练习完成质量、口头复盘的逻辑清晰度；结果与对照实验占20%，主要考察性能指标表的规范性、训练曲线的完整性、单变量对照实验的设计合理性、结论的客观性与边界性；错误分析占15%，主要考察漏检、误检、重复检测、角度误差等样本的典型性、错误原因分类的准确性、优化思路的可行性；代码与报告规范占10%，主要考察代码目录结构清晰度、注释完备性、图表规范性、引用标注准确性、实验报告的可复现性。</w:t>
      </w:r>
    </w:p>
    <w:p>
      <w:pPr>
        <w:spacing w:line="360" w:lineRule="auto" w:after="120"/>
        <w:ind w:firstLine="0"/>
      </w:pPr>
      <w:r>
        <w:rPr>
          <w:rFonts w:ascii="宋体" w:hAnsi="宋体" w:cs="宋体" w:eastAsia="宋体"/>
          <w:sz w:val="28"/>
        </w:rPr>
        <w:t>（3）阶段考核安排</w:t>
      </w: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sz w:val="28"/>
        </w:rPr>
        <w:t>课程设置中期与期末两次阶段考核，形成过程性考核体系。课程中期采用基础理论卷开展知识点测试，检验核心概念的掌握情况，侧重考察数据规范、评价指标、模型原理等基础内容，及时发现学习薄弱点。课程末期采用综合实操卷或项目答辩的形式开展综合考核，侧重考察实验操作、问题分析、综合设计等实践能力，全面检验综合素养。若学习者受硬件条件限制无法完成完整训练，可使用提供的标准训练日志与预测结果，完成指标计算、错误分析与实验设计，但数据检查与格式转换等基础环节仍需独立完成，保障基础能力的考核效度。</w:t>
      </w:r>
    </w:p>
    <w:p>
      <w:pPr>
        <w:pStyle w:val="Heading2"/>
      </w:pPr>
      <w:r>
        <w:rPr>
          <w:rFonts w:ascii="等线" w:hAnsi="等线" w:cs="等线" w:eastAsia="等线"/>
          <w:b/>
          <w:sz w:val="26"/>
        </w:rPr>
        <w:t>2.8 成果验收与持续改进</w:t>
      </w: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sz w:val="28"/>
        </w:rPr>
        <w:t>课程设置中期、末期两个正式验收节点，对应不同阶段的教学目标，采用“材料核验—现场抽查—结论确认”的三级核验流程，同时建立闭环的教学迭代机制。</w:t>
      </w:r>
    </w:p>
    <w:p>
      <w:pPr>
        <w:spacing w:line="360" w:lineRule="auto" w:after="120"/>
        <w:ind w:firstLine="0"/>
      </w:pPr>
      <w:r>
        <w:rPr>
          <w:rFonts w:ascii="宋体" w:hAnsi="宋体" w:cs="宋体" w:eastAsia="宋体"/>
          <w:sz w:val="28"/>
        </w:rPr>
        <w:t>（1）成果验收节点与核验流程</w:t>
      </w: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sz w:val="28"/>
        </w:rPr>
        <w:t>中期验收安排在基础水平框检测实训结束后，重点验收数据处理能力、基础模型实践能力与原理掌握情况。核验顺序为：首先核查数据清单、实验日志、过程记录等过程性材料的完整性；其次抽查标注可视化、指标计算、模型调试等核心操作的完成质量；最后确认阶段知识点的掌握程度，未达到合格标准的小组需在一周内完成整改与补测。</w:t>
      </w: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sz w:val="28"/>
        </w:rPr>
        <w:t>末期验收安排在全部实训结束后，验收覆盖课程全部能力目标。核验顺序为：首先核验实验成果包的完整性，对照清单逐一核查数据文档、环境文档、实验代码、过程记录、结果材料、实验报告六类材料；其次开展现场操作抽查与口头复盘，验证学习者对实验全流程的掌握程度；最后结合实验报告质量与综合表现给出最终成绩。所有验收材料需留存归档，作为教学质量追溯的依据。</w:t>
      </w:r>
    </w:p>
    <w:p>
      <w:pPr>
        <w:spacing w:line="360" w:lineRule="auto" w:after="120"/>
        <w:ind w:firstLine="0"/>
      </w:pPr>
      <w:r>
        <w:rPr>
          <w:rFonts w:ascii="宋体" w:hAnsi="宋体" w:cs="宋体" w:eastAsia="宋体"/>
          <w:sz w:val="28"/>
        </w:rPr>
        <w:t>（2）教学迭代与问题闭环机制</w:t>
      </w: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sz w:val="28"/>
        </w:rPr>
        <w:t>每轮课程结束后，建立“问题收集—归因分析—整改落实—效果验证”的闭环改进机制，实现教学质量的持续迭代。</w:t>
      </w: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sz w:val="28"/>
        </w:rPr>
        <w:t>问题收集覆盖三个维度：一是学习者高频错误汇总，包括数据处理、模型训练、指标计算等各环节的共性错误，统计错误出现频次与分布；二是实验运行数据统计，包括各实验的平均运行时长、硬件资源瓶颈、失败率最高的操作环节；三是考核结果分析，包括各考核项目的得分率、成绩分布、实验报告中的共性问题。</w:t>
      </w: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sz w:val="28"/>
        </w:rPr>
        <w:t>归因分析环节明确问题归属，区分是教学设计问题、资源配置问题还是学习者基础问题，针对性制定整改措施。教学设计问题优先调整教学顺序、补充讲解内容、优化案例设计；资源问题优先更新配套材料、优化环境配置；学习者基础问题调整前置预习内容与入门门槛。</w:t>
      </w: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sz w:val="28"/>
        </w:rPr>
        <w:t>整改完成后在下一轮教学中验证改进效果，跟踪对应问题的出现频次变化，未达到预期改进效果的重新分析整改，形成持续迭代的闭环。教学资源每学年至少完成一次版本更新，同步更新数据版本、模型基线与拓展内容，保障教学内容的时效性。</w:t>
      </w:r>
    </w:p>
    <w:p>
      <w:pPr>
        <w:pStyle w:val="Heading2"/>
      </w:pPr>
      <w:r>
        <w:rPr>
          <w:rFonts w:ascii="等线" w:hAnsi="等线" w:cs="等线" w:eastAsia="等线"/>
          <w:b/>
          <w:sz w:val="26"/>
        </w:rPr>
        <w:t>2.9 教学资源协同机制</w:t>
      </w: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sz w:val="28"/>
        </w:rPr>
        <w:t>课程构建“数据支撑—实验落地—评价校验—拓展延伸”四层联动的资源体系，各类资源功能互补、相互支撑，共同服务于教学全流程。</w:t>
      </w:r>
    </w:p>
    <w:p>
      <w:pPr>
        <w:spacing w:line="360" w:lineRule="auto" w:after="120"/>
        <w:ind w:firstLine="0"/>
      </w:pPr>
      <w:r>
        <w:rPr>
          <w:rFonts w:ascii="宋体" w:hAnsi="宋体" w:cs="宋体" w:eastAsia="宋体"/>
          <w:sz w:val="28"/>
        </w:rPr>
        <w:t>（1）四层资源协同体系</w:t>
      </w: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sz w:val="28"/>
        </w:rPr>
        <w:t>数据层资源包含遥感检测数据集说明、数据规范、合规使用指引等内容，核心解决“使用什么数据、数据有什么特点、怎么合规使用”的问题，为所有实验提供基础数据支撑，是实验真实性与合规性的基础保障。</w:t>
      </w: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sz w:val="28"/>
        </w:rPr>
        <w:t>实验层资源包含知识点指引、实验操作方案、配套实验代码与交互式实操材料，核心解决“实验原理是什么、具体怎么操作”的问题，是实训环节的核心载体，直接支撑各模块的实验教学。</w:t>
      </w: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sz w:val="28"/>
        </w:rPr>
        <w:t>评价层资源包含阶段习题、考核试题、评分标准与评价指标说明，核心解决“学习效果怎么测、考核依据是什么”的问题，贯穿教学各阶段，保障考核的规范性与一致性。</w:t>
      </w: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sz w:val="28"/>
        </w:rPr>
        <w:t>拓展层资源包含典型案例库、前沿论文选编、行业应用场景介绍，核心解决“知识怎么拓展、能力怎么延伸”的问题，用于深化对技术的理解，拓展行业视野。</w:t>
      </w: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sz w:val="28"/>
        </w:rPr>
        <w:t>四层资源围绕教学目标协同运作，数据层是基础，实验层是核心，评价层是标尺，拓展层是延伸，共同形成完整的教学资源支撑体系。</w:t>
      </w:r>
    </w:p>
    <w:p>
      <w:pPr>
        <w:spacing w:line="360" w:lineRule="auto" w:after="120"/>
        <w:ind w:firstLine="0"/>
      </w:pPr>
      <w:r>
        <w:rPr>
          <w:rFonts w:ascii="宋体" w:hAnsi="宋体" w:cs="宋体" w:eastAsia="宋体"/>
          <w:sz w:val="28"/>
        </w:rPr>
        <w:t>（2）资源使用规范</w:t>
      </w: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sz w:val="28"/>
        </w:rPr>
        <w:t>教学实施前，课程实施可结合专业培养要求、课时安排与硬件条件，从资源体系中选取适配的内容组合，形成针对性的教学实施方案。基础教学优先保障数据层、实验层、评价层核心资源的使用，拓展层资源可根据教学进度选择性融入。</w:t>
      </w: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sz w:val="28"/>
        </w:rPr>
        <w:t>实训开展过程中，需严格遵循数据资源的许可要求，教学用原始影像、标注数据与预训练模型不得用于商业用途，不得对外公开发布。配套实验代码与操作材料仅用于教学场景，可根据实验需求做必要调整，但需保留核心逻辑与评价标准的一致性，保障实验结果的可比性。</w:t>
      </w:r>
    </w:p>
    <w:p>
      <w:pPr>
        <w:pStyle w:val="Heading2"/>
      </w:pPr>
      <w:r>
        <w:rPr>
          <w:rFonts w:ascii="等线" w:hAnsi="等线" w:cs="等线" w:eastAsia="等线"/>
          <w:b/>
          <w:sz w:val="26"/>
        </w:rPr>
        <w:t>2.10 实验实训方案体系</w:t>
      </w: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sz w:val="28"/>
        </w:rPr>
        <w:t>课程配套五套递进式实验实训方案，覆盖从基础入门到综合提升的完整实训链条，各方案围绕对应教学目标设计，明确操作流程、建议参数与验收标准，具体如下：</w:t>
      </w:r>
    </w:p>
    <w:p>
      <w:pPr>
        <w:spacing w:line="360" w:lineRule="auto" w:after="120"/>
        <w:ind w:firstLine="0"/>
      </w:pPr>
      <w:r>
        <w:rPr>
          <w:rFonts w:ascii="宋体" w:hAnsi="宋体" w:cs="宋体" w:eastAsia="宋体"/>
          <w:sz w:val="28"/>
        </w:rPr>
        <w:t>（1）实验一：基于DIOR的Faster R-CNN水平框检测实验。属于基础验证型实验，聚焦两阶段检测模型的全流程操作，内容涵盖数据读取、环境配置、模型训练、精度评估、结果可视化，帮助学习者建立目标检测的完整流程认知。建议学时4学时，完成后输出水平框检测基线模型与性能报告。</w:t>
      </w:r>
    </w:p>
    <w:p>
      <w:pPr>
        <w:spacing w:line="360" w:lineRule="auto" w:after="120"/>
        <w:ind w:firstLine="0"/>
      </w:pPr>
      <w:r>
        <w:rPr>
          <w:rFonts w:ascii="宋体" w:hAnsi="宋体" w:cs="宋体" w:eastAsia="宋体"/>
          <w:sz w:val="28"/>
        </w:rPr>
        <w:t>（2）实验二：基于DIOR的YOLOv8检测与参数对比实验。属于基础验证型实验，聚焦一阶段检测模型的操作与参数影响，内容涵盖YOLO模型训练、输入尺寸调整、NMS阈值对比、小目标性能分析，对比两阶段与一阶段模型的性能差异。建议学时4学时，完成后输出参数对比报告与误差样本分析。</w:t>
      </w:r>
    </w:p>
    <w:p>
      <w:pPr>
        <w:spacing w:line="360" w:lineRule="auto" w:after="120"/>
        <w:ind w:firstLine="0"/>
      </w:pPr>
      <w:r>
        <w:rPr>
          <w:rFonts w:ascii="宋体" w:hAnsi="宋体" w:cs="宋体" w:eastAsia="宋体"/>
          <w:sz w:val="28"/>
        </w:rPr>
        <w:t>（3）实验三：基于DOTA的旋转目标检测实验。属于进阶设计型实验，聚焦遥感专属旋转检测技术，内容涵盖大幅影像滑窗切片、四边形标注校验、旋转框模型训练、旋转IoU计算、结果拼接与精度评估，掌握遥感目标检测的核心特色技术。建议学时8学时，完成后输出旋转框检测结果与朝向误差分析报告。</w:t>
      </w:r>
    </w:p>
    <w:p>
      <w:pPr>
        <w:spacing w:line="360" w:lineRule="auto" w:after="120"/>
        <w:ind w:firstLine="0"/>
      </w:pPr>
      <w:r>
        <w:rPr>
          <w:rFonts w:ascii="宋体" w:hAnsi="宋体" w:cs="宋体" w:eastAsia="宋体"/>
          <w:sz w:val="28"/>
        </w:rPr>
        <w:t>（4）实验四：多范式检测模型对比实验。属于综合分析型实验，聚焦不同检测范式的性能对比，内容涵盖Deformable DETR模型运行、Transformer检测特性分析、多模型精度与推理速度对比，理解不同范式的适用场景。建议学时8学时，完成后输出多模型性能对比报告与场景适配分析。</w:t>
      </w:r>
    </w:p>
    <w:p>
      <w:pPr>
        <w:spacing w:line="360" w:lineRule="auto" w:after="120"/>
        <w:ind w:firstLine="0"/>
      </w:pPr>
      <w:r>
        <w:rPr>
          <w:rFonts w:ascii="宋体" w:hAnsi="宋体" w:cs="宋体" w:eastAsia="宋体"/>
          <w:sz w:val="28"/>
        </w:rPr>
        <w:t>（5）实验五：轻量化模型优化与部署实验。属于拓展创新型实验，面向工程应用场景，内容涵盖模型剪枝量化、ONNX格式导出、推理速度测试、精度-速度权衡分析，掌握模型部署的核心技术。建议学时12学时，完成后输出部署测试报告与优化方案。</w:t>
      </w:r>
    </w:p>
    <w:p>
      <w:pPr>
        <w:pStyle w:val="Heading2"/>
      </w:pPr>
      <w:r>
        <w:rPr>
          <w:rFonts w:ascii="等线" w:hAnsi="等线" w:cs="等线" w:eastAsia="等线"/>
          <w:b/>
          <w:sz w:val="26"/>
        </w:rPr>
        <w:t>2.11 实验数据与模型选择规则</w:t>
      </w: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sz w:val="28"/>
        </w:rPr>
        <w:t>数据与模型的选择不是独立决策。数据的成像体制、标注格式、目标尺度和计算条件共同决定模型的起点、输入处理和评价方式。课程资源包中的 DIOR、DOTA 与 SAR 舰船类数据构成由标准水平框、旋转框到异源传感器的递进序列；Faster R-CNN、YOLOv8、Oriented R-CNN、Deformable DETR 与轻量化 YOLO 则对应精度、速度、方向敏感性和部署成本不同的技术路线。</w:t>
      </w:r>
    </w:p>
    <w:p>
      <w:pPr>
        <w:spacing w:line="360" w:lineRule="auto" w:after="120"/>
        <w:ind w:firstLine="0"/>
      </w:pPr>
      <w:r>
        <w:rPr>
          <w:rFonts w:ascii="宋体" w:hAnsi="宋体" w:eastAsia="宋体" w:cs="宋体"/>
          <w:b/>
          <w:sz w:val="28"/>
        </w:rPr>
        <w:t>（1）数据集与任务匹配</w:t>
      </w: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sz w:val="28"/>
        </w:rPr>
        <w:t>DIOR 适用于统一尺寸光学影像上的水平框检测入门，可将注意力集中于类别、位置、置信度和基础评价链路。DOTA 适用于大幅影像切片、密集目标和任意方向目标任务，其四边形标注使顶点顺序、旋转 IoU 和结果回拼成为实验核心。SAR 舰船数据适用于讨论单通道纹理、斑点噪声、海陆背景差异和小目标召回，不能直接把光学影像的色彩增强策略照搬到 SAR 数据。</w:t>
      </w:r>
    </w:p>
    <w:p>
      <w:pPr>
        <w:spacing w:line="360" w:lineRule="auto" w:after="120"/>
        <w:ind w:firstLine="0"/>
      </w:pPr>
      <w:r>
        <w:rPr>
          <w:rFonts w:ascii="宋体" w:hAnsi="宋体" w:eastAsia="宋体" w:cs="宋体"/>
          <w:b/>
          <w:sz w:val="28"/>
        </w:rPr>
        <w:t>（2）模型与资源匹配</w:t>
      </w: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sz w:val="28"/>
        </w:rPr>
        <w:t>两阶段模型适合用于观察候选区域、特征金字塔与精度优先的训练逻辑；一阶段模型适合用于建立快速迭代和实时推理的工程体验；旋转检测模型用于处理方向敏感目标；Transformer 模型用于理解集合预测、注意力机制和更高的显存代价；轻量化模型用于讨论参数量、FLOPs、延迟与精度之间的边界。模型选择记录至少包含框架版本、预训练权重来源、输入尺寸、batch size、学习率、训练轮数和硬件条件，避免把不同条件下的数值直接并列比较。</w:t>
      </w:r>
    </w:p>
    <w:p>
      <w:pPr>
        <w:spacing w:line="360" w:lineRule="auto" w:after="120"/>
        <w:ind w:firstLine="0"/>
      </w:pPr>
      <w:r>
        <w:rPr>
          <w:rFonts w:ascii="宋体" w:hAnsi="宋体" w:eastAsia="宋体" w:cs="宋体"/>
          <w:b/>
          <w:sz w:val="28"/>
        </w:rPr>
        <w:t>（3）教学子集构建原则</w:t>
      </w: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sz w:val="28"/>
        </w:rPr>
        <w:t>教学子集的作用是缩短验证周期，而不是替代公开基准。子集划分以原始影像或独立地理场景为单位；同源切片不跨训练、验证和测试集合；类别数量、目标尺寸和场景背景在三个集合中保持可解释的分布。子集文档明确记录抽样规则、随机种子、原始数据版本和排除样本原因。基于子集得到的指标仅描述本次教学设置，不代表完整公开数据集上的通用性能。</w:t>
      </w:r>
    </w:p>
    <w:p>
      <w:pPr>
        <w:pStyle w:val="Heading2"/>
      </w:pPr>
      <w:r>
        <w:rPr>
          <w:rFonts w:ascii="等线" w:hAnsi="等线" w:cs="等线" w:eastAsia="等线"/>
          <w:b/>
          <w:sz w:val="26"/>
        </w:rPr>
        <w:t>2.12 学习产出与评价等级</w:t>
      </w: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sz w:val="28"/>
        </w:rPr>
        <w:t>课程采用三级分级评价体系，分为合格、良好、优秀三个等级，各等级对应明确的能力达成要求与可判定证据，评价覆盖五个能力维度。</w:t>
      </w:r>
    </w:p>
    <w:p>
      <w:pPr>
        <w:spacing w:line="360" w:lineRule="auto" w:after="120"/>
        <w:ind w:firstLine="0"/>
      </w:pPr>
      <w:r>
        <w:rPr>
          <w:rFonts w:ascii="宋体" w:hAnsi="宋体" w:cs="宋体" w:eastAsia="宋体"/>
          <w:sz w:val="28"/>
        </w:rPr>
        <w:t>（1）分级评价标准</w:t>
      </w: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sz w:val="28"/>
        </w:rPr>
        <w:t>合格等级为课程的最低通过要求，达到该等级的学习者能够完成基础实验操作，掌握核心知识点，实验过程完整规范。判定证据包括：能够正确完成数据校验与标注可视化，准确表述核心指标与模型原理；能够独立完成基础水平框检测实验，实验过程记录完整；实验报告结构完整，数据来源与评价标准标注清晰；无原则性数据错误与操作错误。</w:t>
      </w: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sz w:val="28"/>
        </w:rPr>
        <w:t>良好等级为课程的中等达标要求，达到该等级的学习者能够熟练完成各实验操作，具备较好的问题分析能力。判定证据包括：能够熟练完成两类以上检测模型的实验，准确计算各项评价指标；能够对检测错误进行分类，明确漏检、误检的主要原因；实验设计合理，实验记录规范完整；实验报告逻辑清晰，分析有对应数据支撑。</w:t>
      </w: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sz w:val="28"/>
        </w:rPr>
        <w:t>优秀等级为课程的高阶达标要求，达到该等级的学习者具备较强的综合实践与设计能力，能够开展拓展性实验。判定证据包括：能够独立完成全部五套实验，熟练掌握遥感专属检测技术；能够设计单变量对照实验，分析变量对结果的影响规律，提出可行的优化思路；能够对不同检测范式的适用场景做出准确判断，结合应用场景选择适配方案；实验报告严谨规范，具备工程文档的基本素养。</w:t>
      </w:r>
    </w:p>
    <w:p>
      <w:pPr>
        <w:spacing w:line="360" w:lineRule="auto" w:after="120"/>
        <w:ind w:firstLine="0"/>
      </w:pPr>
      <w:r>
        <w:rPr>
          <w:rFonts w:ascii="宋体" w:hAnsi="宋体" w:cs="宋体" w:eastAsia="宋体"/>
          <w:sz w:val="28"/>
        </w:rPr>
        <w:t>（2）能力达成判定依据</w:t>
      </w: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sz w:val="28"/>
        </w:rPr>
        <w:t>等级判定以过程性评价与终结性评价的综合得分为基础，同时设置单项维度的合格底线。五个能力维度中任意一项未达到合格标准的，不得评定为合格及以上等级；实验过程与错误分析两项未达到良好标准的，不得评定为优秀等级。</w:t>
      </w: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sz w:val="28"/>
        </w:rPr>
        <w:t>等级判定需对应明确的可观测证据，不得以主观印象作为判定依据。所有支撑评定的实验记录、考核材料、作业成果均需留存归档，保障评价的可追溯性。</w:t>
      </w:r>
    </w:p>
    <w:p>
      <w:pPr>
        <w:pStyle w:val="Heading2"/>
      </w:pPr>
      <w:r>
        <w:rPr>
          <w:rFonts w:ascii="等线" w:hAnsi="等线" w:cs="等线" w:eastAsia="等线"/>
          <w:b/>
          <w:sz w:val="26"/>
        </w:rPr>
        <w:t>2.13 课堂案例应用示例</w:t>
      </w: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sz w:val="28"/>
        </w:rPr>
        <w:t>课程设置三类嵌入课堂的实操案例，分别对应入门理解、核心技能、综合分析三个层级，配合理论讲授同步开展，强化“学练结合”的教学效果。</w:t>
      </w:r>
    </w:p>
    <w:p>
      <w:pPr>
        <w:spacing w:line="360" w:lineRule="auto" w:after="120"/>
        <w:ind w:firstLine="0"/>
      </w:pPr>
      <w:r>
        <w:rPr>
          <w:rFonts w:ascii="宋体" w:hAnsi="宋体" w:cs="宋体" w:eastAsia="宋体"/>
          <w:sz w:val="28"/>
        </w:rPr>
        <w:t>（1）入门案例：标注格式转换与IoU计算</w:t>
      </w: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sz w:val="28"/>
        </w:rPr>
        <w:t>本案例配合数据处理与评价指标模块教学开展，建议学时1学时。数据输入采用DIOR数据集中的3张典型影像及对应标准格式标注，包含不同尺度、不同重叠程度的目标样本。任务步骤为：首先读取标注文件，解析目标类别与边界框坐标；其次编写代码实现VOC格式到YOLO格式的转换，验证转换后坐标的准确性；最后手动计算两组不同重叠程度边界框的IoU值，对照代码计算结果验证正确性。预期结果为学习者能够独立完成标注格式解析与转换，准确计算不同重叠情况的IoU数值。评价点聚焦于标注格式的理解程度、坐标转换的准确性、IoU计算的正确性，同时强化“数值结果对应几何意义”的认知，避免只会调用接口不懂原理的问题。</w:t>
      </w:r>
    </w:p>
    <w:p>
      <w:pPr>
        <w:spacing w:line="360" w:lineRule="auto" w:after="120"/>
        <w:ind w:firstLine="0"/>
      </w:pPr>
      <w:r>
        <w:rPr>
          <w:rFonts w:ascii="宋体" w:hAnsi="宋体" w:cs="宋体" w:eastAsia="宋体"/>
          <w:sz w:val="28"/>
        </w:rPr>
        <w:t>（2）核心案例：密集车辆场景的NMS阈值对比</w:t>
      </w: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sz w:val="28"/>
        </w:rPr>
        <w:t>本案例配合检测模型原理与基础水平框检测模块教学开展，建议学时2学时。数据输入采用DOTA数据集中的港口停车场密集车辆场景切片，包含密集排列的小型车辆目标，存在大量相邻目标。任务步骤为：首先运行基础检测模型得到初始预测结果；其次分别设置0.1、0.3、0.5三组不同的NMS置信度阈值，输出对应检测结果；最后对比三组结果中的重复检测数量与漏检数量，分析阈值变化对检测结果的影响规律。预期结果为学习者能够观察到阈值越低漏检越少、重复框越多，阈值越高重复框越少、漏检越多的规律，理解NMS的作用机制与参数权衡。评价点聚焦于对NMS原理的理解、参数影响的分析能力，以及结合场景选择合适阈值的判断能力。</w:t>
      </w:r>
    </w:p>
    <w:p>
      <w:pPr>
        <w:spacing w:line="360" w:lineRule="auto" w:after="120"/>
        <w:ind w:firstLine="0"/>
      </w:pPr>
      <w:r>
        <w:rPr>
          <w:rFonts w:ascii="宋体" w:hAnsi="宋体" w:cs="宋体" w:eastAsia="宋体"/>
          <w:sz w:val="28"/>
        </w:rPr>
        <w:t>（3）综合案例：桥梁与立交桥的类间混淆分析</w:t>
      </w: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sz w:val="28"/>
        </w:rPr>
        <w:t>本案例配合旋转目标检测与综合实训模块教学开展，建议学时2学时。数据输入采用DIOR数据集中的桥梁、立交桥两类目标样本，包含不同形态、不同背景的典型实例。任务步骤为：首先提取训练完成模型的混淆矩阵，统计两类目标的相互误检率；其次选取典型误检样本，从目标形态、周边环境、纹理特征等角度分析误检原因；最后提出降低类间混淆的可行优化方向。预期结果为学习者能够准确统计类间误检情况，从特征层面分析混淆原因，提出合理的优化思路。评价点聚焦于问题分析的逻辑性、原因定位的准确性、优化思路的可行性，培养面向实际问题的分析能力。</w:t>
      </w:r>
    </w:p>
    <w:p>
      <w:pPr>
        <w:pStyle w:val="Heading2"/>
      </w:pPr>
      <w:r>
        <w:rPr>
          <w:rFonts w:ascii="等线" w:hAnsi="等线" w:cs="等线" w:eastAsia="等线"/>
          <w:b/>
          <w:sz w:val="26"/>
        </w:rPr>
        <w:t>2.14 教学运行质量检查表</w:t>
      </w: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sz w:val="28"/>
        </w:rPr>
        <w:t>建立常态化的教学运行质量检查机制，覆盖课前、课中、课后全流程，保障教学规范有序开展。</w:t>
      </w:r>
    </w:p>
    <w:p>
      <w:pPr>
        <w:spacing w:line="360" w:lineRule="auto" w:after="120"/>
        <w:ind w:firstLine="0"/>
      </w:pPr>
      <w:r>
        <w:rPr>
          <w:rFonts w:ascii="宋体" w:hAnsi="宋体" w:cs="宋体" w:eastAsia="宋体"/>
          <w:sz w:val="28"/>
        </w:rPr>
        <w:t>（1）检查机制与频次</w:t>
      </w: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sz w:val="28"/>
        </w:rPr>
        <w:t>课前检查在每模块教学前开展，重点检查教学资源准备情况、实验环境可用性、教学子集合规性，确保实训开展的基础条件达标。核心实验开始前必须完成环境与数据的双重校验，未通过检查不得开展批量训练。</w:t>
      </w: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sz w:val="28"/>
        </w:rPr>
        <w:t>课中抽查每轮实验至少开展2次，重点检查实验操作规范性、过程记录完整性、小组分工合理性，及时纠正操作不规范、记录不完整等问题。</w:t>
      </w: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sz w:val="28"/>
        </w:rPr>
        <w:t>课后检查在每个模块结束后开展，重点检查实验成果提交情况、报告质量、常见问题分布，跟踪教学目标达成情况。中期与末期验收阶段开展全面检查，覆盖教学全要素。</w:t>
      </w:r>
    </w:p>
    <w:p>
      <w:pPr>
        <w:spacing w:line="360" w:lineRule="auto" w:after="120"/>
        <w:ind w:firstLine="0"/>
      </w:pPr>
      <w:r>
        <w:rPr>
          <w:rFonts w:ascii="宋体" w:hAnsi="宋体" w:cs="宋体" w:eastAsia="宋体"/>
          <w:sz w:val="28"/>
        </w:rPr>
        <w:t>（2）异常处理与闭环</w:t>
      </w: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sz w:val="28"/>
        </w:rPr>
        <w:t>检查过程中发现的问题按照“分类处置—限期整改—复查验证”的流程闭环处理。</w:t>
      </w: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sz w:val="28"/>
        </w:rPr>
        <w:t>一般问题包括记录不规范、操作不熟练、报告格式不符合要求等，当场指出并要求限期整改，整改完成后提交复查。</w:t>
      </w: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sz w:val="28"/>
        </w:rPr>
        <w:t>较重问题包括数据使用不合规、实验流程存在原则性错误、考核结果存在明显偏差等，需暂停对应环节教学，分析问题原因，制定整改方案，整改完成后组织复查，确认问题解决后方可继续推进。</w:t>
      </w: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sz w:val="28"/>
        </w:rPr>
        <w:t>所有问题的发现、整改、复查情况均需记录在教学运行质量台账中，作为教学迭代的依据。</w:t>
      </w:r>
    </w:p>
    <w:p>
      <w:pPr>
        <w:spacing w:line="360" w:lineRule="auto" w:after="120"/>
        <w:ind w:firstLine="0"/>
      </w:pPr>
      <w:r>
        <w:rPr>
          <w:rFonts w:ascii="宋体" w:hAnsi="宋体" w:cs="宋体" w:eastAsia="宋体"/>
          <w:sz w:val="28"/>
        </w:rPr>
        <w:t>（3）文档归档标准</w:t>
      </w: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sz w:val="28"/>
        </w:rPr>
        <w:t>教学全过程产生的所有文档、材料、记录均需按规范归档，保障教学质量可追溯。</w:t>
      </w: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sz w:val="28"/>
        </w:rPr>
        <w:t>归档材料包括：教学实施方案、教学资源版本说明、实验教学记录、质量检查台账、考核试题与评分标准、实验成果、成绩汇总表七大类。</w:t>
      </w: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sz w:val="28"/>
        </w:rPr>
        <w:t>归档要求为：材料完整无缺失，版本信息明确，时间节点清晰，签字手续完备。电子文档需统一命名规范，存储在指定教学资源目录；纸质材料按学期装订成册，留存期限不少于3年。</w:t>
      </w:r>
    </w:p>
    <w:sectPr w:rsidR="00FC693F" w:rsidRPr="0006063C" w:rsidSect="00034616">
      <w:footerReference w:type="default" r:id="rId9"/>
      <w:pgSz w:w="12240" w:h="15840"/>
      <w:pgMar w:top="1080" w:right="1224" w:bottom="1008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宋体" w:hAnsi="宋体" w:cs="宋体" w:eastAsia="宋体"/>
        <w:sz w:val="18"/>
      </w:rPr>
      <w:t xml:space="preserve">遥感目标检测实验教学方案  ·  第 </w:t>
    </w:r>
    <w:fldSimple w:instr=" PAGE "/>
    <w:r>
      <w:rPr>
        <w:rFonts w:ascii="宋体" w:hAnsi="宋体" w:cs="宋体" w:eastAsia="宋体"/>
        <w:sz w:val="18"/>
      </w:rPr>
      <w:t xml:space="preserve"> 页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120"/>
    </w:pPr>
    <w:rPr>
      <w:rFonts w:ascii="宋体" w:hAnsi="宋体" w:eastAsia="宋体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 w:ascii="等线" w:hAnsi="等线" w:eastAsia="等线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 w:ascii="等线" w:hAnsi="等线" w:eastAsia="等线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 w:ascii="等线" w:hAnsi="等线" w:eastAsia="等线"/>
      <w:b/>
      <w:bCs/>
      <w:color w:val="0000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等线" w:hAnsi="等线" w:eastAsia="等线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遥感目标检测实验教学方案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