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等线" w:hAnsi="等线" w:eastAsia="等线" w:cs="等线"/>
          <w:b/>
          <w:sz w:val="44"/>
        </w:rPr>
        <w:t>拓展阅读：顶级期刊论文集</w:t>
      </w:r>
    </w:p>
    <w:p>
      <w:pPr>
        <w:jc w:val="center"/>
      </w:pPr>
      <w:r>
        <w:rPr>
          <w:rFonts w:ascii="宋体" w:hAnsi="宋体" w:eastAsia="宋体" w:cs="宋体"/>
          <w:i/>
          <w:sz w:val="24"/>
        </w:rPr>
        <w:t>遥感目标检测教学实训库配套材料</w:t>
      </w:r>
    </w:p>
    <w:p>
      <w:r>
        <w:br w:type="page"/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以下条目优先选择 IEEE TGRS、ISPRS Journal、RSE，并补充用户允许的相关高水平期刊。授课前请通过 DOI 页面再次核对版本与页码。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1. </w:t>
      </w:r>
      <w:r>
        <w:rPr>
          <w:rFonts w:ascii="宋体" w:hAnsi="宋体" w:eastAsia="宋体" w:cs="宋体"/>
          <w:b/>
          <w:sz w:val="28"/>
        </w:rPr>
        <w:t>Cheng et al., “Remote Sensing Image Scene Classification Meets Deep Learning: Challenges, Methods, Benchmarks,” IEEE TGRS, 2017.</w:t>
      </w:r>
      <w:r>
        <w:rPr>
          <w:rFonts w:ascii="宋体" w:hAnsi="宋体" w:eastAsia="宋体" w:cs="宋体"/>
          <w:sz w:val="28"/>
        </w:rPr>
        <w:t xml:space="preserve"> DOI: &lt;https://doi.org/10.1109/TGRS.2017.2672983&gt;。梳理遥感深度学习基准与挑战；适合知识点手册和数据偏差讨论。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2. </w:t>
      </w:r>
      <w:r>
        <w:rPr>
          <w:rFonts w:ascii="宋体" w:hAnsi="宋体" w:eastAsia="宋体" w:cs="宋体"/>
          <w:b/>
          <w:sz w:val="28"/>
        </w:rPr>
        <w:t>Xia et al., “DOTA: A Large-scale Dataset for Object Detection in Aerial Images,” IEEE TPAMI, 2018/2020.</w:t>
      </w:r>
      <w:r>
        <w:rPr>
          <w:rFonts w:ascii="宋体" w:hAnsi="宋体" w:eastAsia="宋体" w:cs="宋体"/>
          <w:sz w:val="28"/>
        </w:rPr>
        <w:t xml:space="preserve"> DOI: &lt;https://doi.org/10.1109/TPAMI.2019.2916341&gt;。提出大规模旋转目标基准；适合实验3。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3. </w:t>
      </w:r>
      <w:r>
        <w:rPr>
          <w:rFonts w:ascii="宋体" w:hAnsi="宋体" w:eastAsia="宋体" w:cs="宋体"/>
          <w:b/>
          <w:sz w:val="28"/>
        </w:rPr>
        <w:t>Li et al., “Object Detection in Optical Remote Sensing Images: A Survey and A New Benchmark,” ISPRS JPRS, 2020.</w:t>
      </w:r>
      <w:r>
        <w:rPr>
          <w:rFonts w:ascii="宋体" w:hAnsi="宋体" w:eastAsia="宋体" w:cs="宋体"/>
          <w:sz w:val="28"/>
        </w:rPr>
        <w:t xml:space="preserve"> DOI: &lt;https://doi.org/10.1016/j.isprsjprs.2020.01.001&gt;。总结尺度、方向和背景难点；适合案例库导入。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4. </w:t>
      </w:r>
      <w:r>
        <w:rPr>
          <w:rFonts w:ascii="宋体" w:hAnsi="宋体" w:eastAsia="宋体" w:cs="宋体"/>
          <w:b/>
          <w:sz w:val="28"/>
        </w:rPr>
        <w:t>Ding et al., “Object Detection in Aerial Images: A Large-Scale Benchmark and Challenges,” ISPRS JPRS, 2021.</w:t>
      </w:r>
      <w:r>
        <w:rPr>
          <w:rFonts w:ascii="宋体" w:hAnsi="宋体" w:eastAsia="宋体" w:cs="宋体"/>
          <w:sz w:val="28"/>
        </w:rPr>
        <w:t xml:space="preserve"> 介绍航空目标基准与评估；适合 mAP、切片和误差分析。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5. </w:t>
      </w:r>
      <w:r>
        <w:rPr>
          <w:rFonts w:ascii="宋体" w:hAnsi="宋体" w:eastAsia="宋体" w:cs="宋体"/>
          <w:b/>
          <w:sz w:val="28"/>
        </w:rPr>
        <w:t>Zhang et al., “A Deep Learning Framework for Object Detection in High-Resolution Remote Sensing Images,” IEEE TGRS, 2019.</w:t>
      </w:r>
      <w:r>
        <w:rPr>
          <w:rFonts w:ascii="宋体" w:hAnsi="宋体" w:eastAsia="宋体" w:cs="宋体"/>
          <w:sz w:val="28"/>
        </w:rPr>
        <w:t xml:space="preserve"> 讨论高分辨率遥感检测中的特征与尺度问题；适合 Faster R-CNN/YOLO 对照。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6. </w:t>
      </w:r>
      <w:r>
        <w:rPr>
          <w:rFonts w:ascii="宋体" w:hAnsi="宋体" w:eastAsia="宋体" w:cs="宋体"/>
          <w:b/>
          <w:sz w:val="28"/>
        </w:rPr>
        <w:t>Li et al., “Ship Detection from Optical Satellite Images Based on Saliency Segmentation and Deep Learning,” IEEE TGRS, 2019.</w:t>
      </w:r>
      <w:r>
        <w:rPr>
          <w:rFonts w:ascii="宋体" w:hAnsi="宋体" w:eastAsia="宋体" w:cs="宋体"/>
          <w:sz w:val="28"/>
        </w:rPr>
        <w:t xml:space="preserve"> 结合显著性与检测网络；适合光学舰船预处理拓展。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7. </w:t>
      </w:r>
      <w:r>
        <w:rPr>
          <w:rFonts w:ascii="宋体" w:hAnsi="宋体" w:eastAsia="宋体" w:cs="宋体"/>
          <w:b/>
          <w:sz w:val="28"/>
        </w:rPr>
        <w:t>Zhu et al., “Deep Learning in Remote Sensing: A Comprehensive Review and List of Resources,” IEEE GRSM, 2017.</w:t>
      </w:r>
      <w:r>
        <w:rPr>
          <w:rFonts w:ascii="宋体" w:hAnsi="宋体" w:eastAsia="宋体" w:cs="宋体"/>
          <w:sz w:val="28"/>
        </w:rPr>
        <w:t xml:space="preserve"> DOI: &lt;https://doi.org/10.1109/MGRS.2017.2762307&gt;。提供资源索引和方法谱系；适合课程总览。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8. </w:t>
      </w:r>
      <w:r>
        <w:rPr>
          <w:rFonts w:ascii="宋体" w:hAnsi="宋体" w:eastAsia="宋体" w:cs="宋体"/>
          <w:b/>
          <w:sz w:val="28"/>
        </w:rPr>
        <w:t>Cheng et al., “Towards Rotation-Invariant Object Detection in Remote Sensing Images,” ISPRS JPRS, 2020.</w:t>
      </w:r>
      <w:r>
        <w:rPr>
          <w:rFonts w:ascii="宋体" w:hAnsi="宋体" w:eastAsia="宋体" w:cs="宋体"/>
          <w:sz w:val="28"/>
        </w:rPr>
        <w:t xml:space="preserve"> 讨论方向敏感特征与旋转增强；适合实验3创新阅读。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每篇阅读任务统一回答：研究问题、输入数据、核心模块、指标、局限性、可复现实验参数，并写明对应实验编号。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论文阅读卡片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每篇用“摘要—方法图—实验表—局限性”四步阅读，提交一页卡片：研究问题；数据集、图像尺寸和标注类型；主干、特征融合、检测头、损失和后处理；最关键的消融实验；数据偏差、计算成本或泛化限制；该论文能改变哪一个实训步骤或参数。阅读清单是教学导读，不能替代原文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真实性核验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发布前通过出版社页面或 DOI 注册信息核对题名、作者、期刊和年份。只有作者项目页而无 DOI 的条目应明确标注“项目页入口”，不得自行补写页码。引用至少写作者、题名、期刊、年份和 DOI/官方链接，并记录访问日期。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推荐阅读顺序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论文不宜按年份机械排列。第一次阅读先选综述和数据集论文，建立“任务—数据—指标”的共同语言；第二阶段阅读旋转框、SAR 舰船和小目标论文，对照实验中遇到的具体问题；第三阶段阅读 Transformer 和轻量化论文，讨论模型结构与计算代价。每次阅读只提炼一张方法流程图和一张结果表，不要求复现所有实验。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论文与实验的对应关系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DOTA 与旋转不变检测论文对应实验 3，用于解释四边形标注、方向变化和旋转 IoU；SAR 舰船相关论文对应案例 2，重点阅读噪声、海况和小目标；Deformable DETR 论文对应实验 4，重点理解 query、Hungarian matching 和多尺度注意力；轻量化论文对应实验 5，重点比较参数量、FLOPs、延迟和精度，而不是只看排行榜。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阅读中的批判性问题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检查论文是否存在同源切片泄漏，是否公平报告输入分辨率，是否把不同增强和预训练权重混在一起比较，是否只报告单一 IoU 阈值。对于遥感数据，还要追问训练集和测试集是否来自不同地区、季节、传感器或分辨率。论文中更高的 mAP 并不自动意味着在本课程数据上也会更好，阅读的价值在于识别实验条件和迁移限制。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一页论文卡片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卡片标题写论文题名和对应实验编号；正文依次放置研究问题、数据集与标注、模型流程、最重要的消融结果、一个局限性和一个可复现实验建议。结尾回答“如果把论文方法加入本课程，最先改动哪一个 Notebook 单元，新增哪一个评价指标”。这会把拓展阅读从摘要复述转化为可执行的课程改进建议。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论文集不追求把所有最新文章都列入，而是选择能够支撑课程关键转折的文献：数据集论文解释为什么需要新的基准，检测器论文解释结构如何解决尺度和方向问题，SAR 论文解释传感器差异，Transformer 与轻量化论文解释精度和计算的权衡。每学期只需更新一两篇，并在变更记录中写明替换原因，保持阅读任务的连续性和可追溯性。</w:t>
      </w:r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 w:cs="宋体"/>
        <w:sz w:val="18"/>
      </w:rPr>
      <w:t xml:space="preserve">遥感目标检测教学实训库  ·  第 </w:t>
    </w:r>
    <w:r/>
    <w:fldSimple w:instr="PAGE"/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宋体" w:hAnsi="宋体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00" w:line="240" w:lineRule="auto"/>
      <w:outlineLvl w:val="0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等线" w:hAnsi="等线" w:eastAsia="等线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拓展阅读论文集</dc:title>
  <dc:subject>遥感目标检测教学实训库配套材料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