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D39CF">
      <w:pPr>
        <w:pStyle w:val="31"/>
        <w:jc w:val="center"/>
      </w:pPr>
      <w:r>
        <w:rPr>
          <w:rFonts w:ascii="Arial Unicode MS" w:hAnsi="Arial Unicode MS" w:eastAsia="Arial Unicode MS" w:cs="Arial Unicode MS"/>
          <w:b/>
          <w:sz w:val="44"/>
        </w:rPr>
        <w:t>遥感目标检测公开数据集教学实训手册</w:t>
      </w:r>
    </w:p>
    <w:p w14:paraId="6C63DCAE">
      <w:pPr>
        <w:spacing w:after="120" w:line="360" w:lineRule="auto"/>
        <w:ind w:firstLine="560"/>
      </w:pPr>
      <w:r>
        <w:rPr>
          <w:rFonts w:ascii="宋体" w:hAnsi="宋体" w:eastAsia="宋体" w:cs="宋体"/>
          <w:sz w:val="28"/>
        </w:rPr>
        <w:br w:type="page"/>
      </w:r>
    </w:p>
    <w:p w14:paraId="3FAF29C1">
      <w:pPr>
        <w:pStyle w:val="3"/>
        <w:rPr>
          <w:rFonts w:hint="eastAsia" w:ascii="等线" w:hAnsi="等线" w:eastAsia="等线" w:cs="等线"/>
        </w:rPr>
      </w:pPr>
      <w:r>
        <w:rPr>
          <w:rFonts w:hint="eastAsia" w:ascii="等线" w:hAnsi="等线" w:eastAsia="等线" w:cs="等线"/>
          <w:b/>
          <w:sz w:val="32"/>
        </w:rPr>
        <w:t>1. 公开数据集</w:t>
      </w:r>
    </w:p>
    <w:p w14:paraId="4A9353C1">
      <w:pPr>
        <w:pStyle w:val="4"/>
        <w:rPr>
          <w:rFonts w:hint="eastAsia" w:ascii="等线" w:hAnsi="等线" w:eastAsia="等线" w:cs="等线"/>
        </w:rPr>
      </w:pPr>
      <w:r>
        <w:rPr>
          <w:rFonts w:hint="eastAsia" w:ascii="等线" w:hAnsi="等线" w:eastAsia="等线" w:cs="等线"/>
          <w:b/>
          <w:sz w:val="26"/>
        </w:rPr>
        <w:t>1.1 DOTA：面向航空影像的多类别旋转目标检测基准</w:t>
      </w:r>
    </w:p>
    <w:p w14:paraId="1F53742B">
      <w:pPr>
        <w:pStyle w:val="5"/>
        <w:rPr>
          <w:rFonts w:hint="eastAsia" w:ascii="等线" w:hAnsi="等线" w:eastAsia="等线" w:cs="等线"/>
        </w:rPr>
      </w:pPr>
      <w:r>
        <w:rPr>
          <w:rFonts w:hint="eastAsia" w:ascii="等线" w:hAnsi="等线" w:eastAsia="等线" w:cs="等线"/>
          <w:b/>
          <w:sz w:val="23"/>
        </w:rPr>
        <w:t>1.1.1 数据定位与来源</w:t>
      </w:r>
    </w:p>
    <w:p w14:paraId="7E70F0C9">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pPr>
      <w:r>
        <w:rPr>
          <w:rFonts w:ascii="宋体" w:hAnsi="宋体" w:eastAsia="宋体" w:cs="宋体"/>
          <w:sz w:val="28"/>
        </w:rPr>
        <w:t xml:space="preserve">DOTA 全称为 </w:t>
      </w:r>
      <w:r>
        <w:rPr>
          <w:rFonts w:ascii="宋体" w:hAnsi="宋体" w:eastAsia="宋体" w:cs="宋体"/>
          <w:b/>
          <w:sz w:val="28"/>
        </w:rPr>
        <w:t>Dataset for Object Detection in Aerial Images</w:t>
      </w:r>
      <w:r>
        <w:rPr>
          <w:rFonts w:ascii="宋体" w:hAnsi="宋体" w:eastAsia="宋体" w:cs="宋体"/>
          <w:sz w:val="28"/>
        </w:rPr>
        <w:t xml:space="preserve"> ，是遥感航拍目标检测领域的标杆级基准数据集，由武汉大学、华中科技大学联合康奈尔大学、德国航空航天中心等多所国内外机构共同构建。该数据的核心成果发表于 IEEE Transactions on Pattern Analysis and Machine Intelligence，</w:t>
      </w:r>
      <w:r>
        <w:rPr>
          <w:rFonts w:hint="eastAsia" w:ascii="宋体" w:hAnsi="宋体" w:eastAsia="宋体" w:cs="宋体"/>
          <w:sz w:val="28"/>
          <w:lang w:val="en-US" w:eastAsia="zh-CN"/>
        </w:rPr>
        <w:t>数据获取</w:t>
      </w:r>
      <w:r>
        <w:rPr>
          <w:rFonts w:ascii="宋体" w:hAnsi="宋体" w:eastAsia="宋体" w:cs="宋体"/>
          <w:sz w:val="28"/>
        </w:rPr>
        <w:t>主页为</w:t>
      </w:r>
      <w:r>
        <w:rPr>
          <w:rFonts w:hint="eastAsia" w:ascii="宋体" w:hAnsi="宋体" w:eastAsia="宋体" w:cs="宋体"/>
          <w:sz w:val="28"/>
          <w:lang w:eastAsia="zh-CN"/>
        </w:rPr>
        <w:t>：</w:t>
      </w:r>
      <w:r>
        <w:rPr>
          <w:rFonts w:hint="eastAsia" w:ascii="宋体" w:hAnsi="宋体" w:eastAsia="宋体" w:cs="宋体"/>
          <w:color w:val="0000FF"/>
          <w:sz w:val="28"/>
        </w:rPr>
        <w:t>https://captain-whu.github.io/DOTA/dataset.html</w:t>
      </w:r>
      <w:r>
        <w:rPr>
          <w:rFonts w:ascii="宋体" w:hAnsi="宋体" w:eastAsia="宋体" w:cs="宋体"/>
          <w:sz w:val="28"/>
        </w:rPr>
        <w:t>。目前公开有 v1.0、v1.5、v2.0 三个正式版本，不同版本在类别数量、影像规模、标注密度和测试协议上均有差异，教学使用中v1.0版本。</w:t>
      </w:r>
    </w:p>
    <w:p w14:paraId="11D01667">
      <w:pPr>
        <w:pStyle w:val="5"/>
        <w:rPr>
          <w:rFonts w:hint="eastAsia" w:ascii="等线" w:hAnsi="等线" w:eastAsia="等线" w:cs="等线"/>
        </w:rPr>
      </w:pPr>
      <w:r>
        <w:rPr>
          <w:rFonts w:hint="eastAsia" w:ascii="等线" w:hAnsi="等线" w:eastAsia="等线" w:cs="等线"/>
          <w:b/>
          <w:sz w:val="23"/>
        </w:rPr>
        <w:t>1.1.2 数据规模与成像特性</w:t>
      </w:r>
    </w:p>
    <w:p w14:paraId="3C753DDB">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DOTA v1.0 共包含 2806 幅航空影像，覆盖 15 个细分类别，总计 188282 个标注目标实例。作为航空影像目标检测领域的标杆基准数据集，其在样本总量、类别覆盖度、标注规范度上均大幅领先于同期同类数据集。</w:t>
      </w:r>
      <w:r>
        <w:rPr>
          <w:rFonts w:ascii="宋体" w:hAnsi="宋体" w:eastAsia="宋体" w:cs="宋体"/>
          <w:sz w:val="28"/>
        </w:rPr>
        <w:fldChar w:fldCharType="begin"/>
      </w:r>
      <w:r>
        <w:rPr>
          <w:rFonts w:ascii="宋体" w:hAnsi="宋体" w:eastAsia="宋体" w:cs="宋体"/>
          <w:sz w:val="28"/>
        </w:rPr>
        <w:instrText xml:space="preserve">REF ref_表1_1 \h \* MERGEFORMAT</w:instrText>
      </w:r>
      <w:r>
        <w:rPr>
          <w:rFonts w:ascii="宋体" w:hAnsi="宋体" w:eastAsia="宋体" w:cs="宋体"/>
          <w:sz w:val="28"/>
        </w:rPr>
        <w:fldChar w:fldCharType="separate"/>
      </w:r>
      <w:r>
        <w:rPr>
          <w:rFonts w:ascii="宋体" w:hAnsi="宋体" w:eastAsia="宋体" w:cs="宋体"/>
          <w:sz w:val="28"/>
        </w:rPr>
        <w:t>表 1-1</w:t>
      </w:r>
      <w:r>
        <w:rPr>
          <w:rFonts w:ascii="宋体" w:hAnsi="宋体" w:eastAsia="宋体" w:cs="宋体"/>
          <w:sz w:val="28"/>
        </w:rPr>
        <w:fldChar w:fldCharType="end"/>
      </w:r>
      <w:r>
        <w:rPr>
          <w:rFonts w:ascii="宋体" w:hAnsi="宋体" w:eastAsia="宋体" w:cs="宋体"/>
          <w:sz w:val="28"/>
        </w:rPr>
        <w:t xml:space="preserve"> 从标注方式、类别数量、样本规模、影像尺寸等核心维度，将其与 8 套主流航空影像目标检测数据集进行了对比。</w:t>
      </w:r>
    </w:p>
    <w:p w14:paraId="473248B4">
      <w:pPr>
        <w:spacing w:line="360" w:lineRule="auto" w:after="120"/>
        <w:ind w:firstLine="560"/>
        <w:jc w:val="center"/>
      </w:pPr>
      <w:bookmarkStart w:id="0" w:name="ref_表1_1"/>
      <w:r>
        <w:rPr>
          <w:rFonts w:ascii="宋体" w:hAnsi="宋体" w:eastAsia="宋体" w:cs="宋体"/>
          <w:b/>
          <w:sz w:val="28"/>
        </w:rPr>
        <w:t>表 1-1 DOTA 与典型航空影像目标检测数据集对比</w:t>
      </w:r>
      <w:bookmarkEnd w:id="0"/>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autofit"/>
        <w:tblCellMar>
          <w:top w:w="0" w:type="dxa"/>
          <w:left w:w="108" w:type="dxa"/>
          <w:bottom w:w="0" w:type="dxa"/>
          <w:right w:w="108" w:type="dxa"/>
        </w:tblCellMar>
      </w:tblPr>
      <w:tblGrid>
        <w:gridCol w:w="1632"/>
        <w:gridCol w:w="1632"/>
        <w:gridCol w:w="1632"/>
        <w:gridCol w:w="1632"/>
        <w:gridCol w:w="1440"/>
        <w:gridCol w:w="1824"/>
      </w:tblGrid>
      <w:tr w14:paraId="69EF564A">
        <w:trPr>
          <w:jc w:val="center"/>
        </w:trPr>
        <w:tc>
          <w:tcPr>
            <w:tcW w:w="1632" w:type="dxa"/>
            <w:shd w:val="clear" w:color="auto" w:fill="1F4E78"/>
            <w:vAlign w:val="center"/>
          </w:tcPr>
          <w:p w14:paraId="11F4FA4C">
            <w:pPr>
              <w:spacing w:line="300" w:lineRule="auto" w:after="0"/>
              <w:jc w:val="center"/>
            </w:pPr>
            <w:r>
              <w:rPr>
                <w:rFonts w:ascii="宋体" w:hAnsi="宋体" w:eastAsia="宋体" w:cs="宋体"/>
                <w:b/>
                <w:color w:val="FFFFFF"/>
                <w:sz w:val="21"/>
              </w:rPr>
              <w:t>数据集</w:t>
            </w:r>
          </w:p>
        </w:tc>
        <w:tc>
          <w:tcPr>
            <w:tcW w:w="1632" w:type="dxa"/>
            <w:shd w:val="clear" w:color="auto" w:fill="1F4E78"/>
            <w:vAlign w:val="center"/>
          </w:tcPr>
          <w:p w14:paraId="029DA648">
            <w:pPr>
              <w:spacing w:line="300" w:lineRule="auto" w:after="0"/>
              <w:jc w:val="center"/>
            </w:pPr>
            <w:r>
              <w:rPr>
                <w:rFonts w:ascii="宋体" w:hAnsi="宋体" w:eastAsia="宋体" w:cs="宋体"/>
                <w:b/>
                <w:color w:val="FFFFFF"/>
                <w:sz w:val="21"/>
              </w:rPr>
              <w:t>标注方式</w:t>
            </w:r>
          </w:p>
        </w:tc>
        <w:tc>
          <w:tcPr>
            <w:tcW w:w="1632" w:type="dxa"/>
            <w:shd w:val="clear" w:color="auto" w:fill="1F4E78"/>
            <w:vAlign w:val="center"/>
          </w:tcPr>
          <w:p w14:paraId="53C6A2D7">
            <w:pPr>
              <w:spacing w:line="300" w:lineRule="auto" w:after="0"/>
              <w:jc w:val="center"/>
            </w:pPr>
            <w:r>
              <w:rPr>
                <w:rFonts w:ascii="宋体" w:hAnsi="宋体" w:eastAsia="宋体" w:cs="宋体"/>
                <w:b/>
                <w:color w:val="FFFFFF"/>
                <w:sz w:val="21"/>
              </w:rPr>
              <w:t>主类别数</w:t>
            </w:r>
          </w:p>
        </w:tc>
        <w:tc>
          <w:tcPr>
            <w:tcW w:w="1632" w:type="dxa"/>
            <w:shd w:val="clear" w:color="auto" w:fill="1F4E78"/>
            <w:vAlign w:val="center"/>
          </w:tcPr>
          <w:p w14:paraId="15D5F583">
            <w:pPr>
              <w:spacing w:line="300" w:lineRule="auto" w:after="0"/>
              <w:jc w:val="center"/>
            </w:pPr>
            <w:r>
              <w:rPr>
                <w:rFonts w:ascii="宋体" w:hAnsi="宋体" w:eastAsia="宋体" w:cs="宋体"/>
                <w:b/>
                <w:color w:val="FFFFFF"/>
                <w:sz w:val="21"/>
              </w:rPr>
              <w:t>目标实例数</w:t>
            </w:r>
          </w:p>
        </w:tc>
        <w:tc>
          <w:tcPr>
            <w:tcW w:w="1440" w:type="dxa"/>
            <w:shd w:val="clear" w:color="auto" w:fill="1F4E78"/>
            <w:vAlign w:val="center"/>
          </w:tcPr>
          <w:p w14:paraId="607DBE70">
            <w:pPr>
              <w:spacing w:line="300" w:lineRule="auto" w:after="0"/>
              <w:jc w:val="center"/>
            </w:pPr>
            <w:r>
              <w:rPr>
                <w:rFonts w:ascii="宋体" w:hAnsi="宋体" w:eastAsia="宋体" w:cs="宋体"/>
                <w:b/>
                <w:color w:val="FFFFFF"/>
                <w:sz w:val="21"/>
              </w:rPr>
              <w:t>影像数量</w:t>
            </w:r>
          </w:p>
        </w:tc>
        <w:tc>
          <w:tcPr>
            <w:tcW w:w="1824" w:type="dxa"/>
            <w:shd w:val="clear" w:color="auto" w:fill="1F4E78"/>
            <w:vAlign w:val="center"/>
          </w:tcPr>
          <w:p w14:paraId="6A267725">
            <w:pPr>
              <w:spacing w:line="300" w:lineRule="auto" w:after="0"/>
              <w:jc w:val="center"/>
            </w:pPr>
            <w:r>
              <w:rPr>
                <w:rFonts w:ascii="宋体" w:hAnsi="宋体" w:eastAsia="宋体" w:cs="宋体"/>
                <w:b/>
                <w:color w:val="FFFFFF"/>
                <w:sz w:val="21"/>
              </w:rPr>
              <w:t>影像宽度（像素）</w:t>
            </w:r>
          </w:p>
        </w:tc>
      </w:tr>
      <w:tr w14:paraId="0185083F">
        <w:trPr>
          <w:jc w:val="center"/>
        </w:trPr>
        <w:tc>
          <w:tcPr>
            <w:tcW w:w="1632" w:type="dxa"/>
            <w:vAlign w:val="center"/>
          </w:tcPr>
          <w:p w14:paraId="7BBDA719">
            <w:pPr>
              <w:spacing w:line="300" w:lineRule="auto" w:after="0"/>
              <w:jc w:val="left"/>
            </w:pPr>
            <w:r>
              <w:rPr>
                <w:rFonts w:ascii="宋体" w:hAnsi="宋体" w:eastAsia="宋体" w:cs="宋体"/>
                <w:sz w:val="21"/>
              </w:rPr>
              <w:t>NWPU VHR-10</w:t>
            </w:r>
          </w:p>
        </w:tc>
        <w:tc>
          <w:tcPr>
            <w:tcW w:w="1632" w:type="dxa"/>
            <w:vAlign w:val="center"/>
          </w:tcPr>
          <w:p w14:paraId="2CC76FDD">
            <w:pPr>
              <w:spacing w:line="300" w:lineRule="auto" w:after="0"/>
              <w:jc w:val="left"/>
            </w:pPr>
            <w:r>
              <w:rPr>
                <w:rFonts w:ascii="宋体" w:hAnsi="宋体" w:eastAsia="宋体" w:cs="宋体"/>
                <w:sz w:val="21"/>
              </w:rPr>
              <w:t>水平边界框</w:t>
            </w:r>
          </w:p>
        </w:tc>
        <w:tc>
          <w:tcPr>
            <w:tcW w:w="1632" w:type="dxa"/>
            <w:vAlign w:val="center"/>
          </w:tcPr>
          <w:p w14:paraId="0C74727A">
            <w:pPr>
              <w:spacing w:line="300" w:lineRule="auto" w:after="0"/>
              <w:jc w:val="center"/>
            </w:pPr>
            <w:r>
              <w:rPr>
                <w:rFonts w:ascii="宋体" w:hAnsi="宋体" w:eastAsia="宋体" w:cs="宋体"/>
                <w:sz w:val="21"/>
              </w:rPr>
              <w:t>10</w:t>
            </w:r>
          </w:p>
        </w:tc>
        <w:tc>
          <w:tcPr>
            <w:tcW w:w="1632" w:type="dxa"/>
            <w:vAlign w:val="center"/>
          </w:tcPr>
          <w:p w14:paraId="2281C529">
            <w:pPr>
              <w:spacing w:line="300" w:lineRule="auto" w:after="0"/>
              <w:jc w:val="left"/>
            </w:pPr>
            <w:r>
              <w:rPr>
                <w:rFonts w:ascii="宋体" w:hAnsi="宋体" w:eastAsia="宋体" w:cs="宋体"/>
                <w:sz w:val="21"/>
              </w:rPr>
              <w:t>3 651</w:t>
            </w:r>
          </w:p>
        </w:tc>
        <w:tc>
          <w:tcPr>
            <w:tcW w:w="1440" w:type="dxa"/>
            <w:vAlign w:val="center"/>
          </w:tcPr>
          <w:p w14:paraId="4FC34F62">
            <w:pPr>
              <w:spacing w:line="300" w:lineRule="auto" w:after="0"/>
              <w:jc w:val="center"/>
            </w:pPr>
            <w:r>
              <w:rPr>
                <w:rFonts w:ascii="宋体" w:hAnsi="宋体" w:eastAsia="宋体" w:cs="宋体"/>
                <w:sz w:val="21"/>
              </w:rPr>
              <w:t>800</w:t>
            </w:r>
          </w:p>
        </w:tc>
        <w:tc>
          <w:tcPr>
            <w:tcW w:w="1824" w:type="dxa"/>
            <w:vAlign w:val="center"/>
          </w:tcPr>
          <w:p w14:paraId="7568C610">
            <w:pPr>
              <w:spacing w:line="300" w:lineRule="auto" w:after="0"/>
              <w:jc w:val="left"/>
            </w:pPr>
            <w:r>
              <w:rPr>
                <w:rFonts w:ascii="宋体" w:hAnsi="宋体" w:eastAsia="宋体" w:cs="宋体"/>
                <w:sz w:val="21"/>
              </w:rPr>
              <w:t>约 1 000</w:t>
            </w:r>
          </w:p>
        </w:tc>
      </w:tr>
      <w:tr w14:paraId="0C2DA55F">
        <w:trPr>
          <w:jc w:val="center"/>
        </w:trPr>
        <w:tc>
          <w:tcPr>
            <w:tcW w:w="1632" w:type="dxa"/>
            <w:shd w:val="clear" w:color="auto" w:fill="F2F6FA"/>
            <w:vAlign w:val="center"/>
          </w:tcPr>
          <w:p w14:paraId="2C953D0F">
            <w:pPr>
              <w:spacing w:line="300" w:lineRule="auto" w:after="0"/>
              <w:jc w:val="left"/>
            </w:pPr>
            <w:r>
              <w:rPr>
                <w:rFonts w:ascii="宋体" w:hAnsi="宋体" w:eastAsia="宋体" w:cs="宋体"/>
                <w:sz w:val="21"/>
              </w:rPr>
              <w:t>SZTAKI-INRIA</w:t>
            </w:r>
          </w:p>
        </w:tc>
        <w:tc>
          <w:tcPr>
            <w:tcW w:w="1632" w:type="dxa"/>
            <w:shd w:val="clear" w:color="auto" w:fill="F2F6FA"/>
            <w:vAlign w:val="center"/>
          </w:tcPr>
          <w:p w14:paraId="314E5CB0">
            <w:pPr>
              <w:spacing w:line="300" w:lineRule="auto" w:after="0"/>
              <w:jc w:val="left"/>
            </w:pPr>
            <w:r>
              <w:rPr>
                <w:rFonts w:ascii="宋体" w:hAnsi="宋体" w:eastAsia="宋体" w:cs="宋体"/>
                <w:sz w:val="21"/>
              </w:rPr>
              <w:t>旋转边界框</w:t>
            </w:r>
          </w:p>
        </w:tc>
        <w:tc>
          <w:tcPr>
            <w:tcW w:w="1632" w:type="dxa"/>
            <w:shd w:val="clear" w:color="auto" w:fill="F2F6FA"/>
            <w:vAlign w:val="center"/>
          </w:tcPr>
          <w:p w14:paraId="53AD3A60">
            <w:pPr>
              <w:spacing w:line="300" w:lineRule="auto" w:after="0"/>
              <w:jc w:val="center"/>
            </w:pPr>
            <w:r>
              <w:rPr>
                <w:rFonts w:ascii="宋体" w:hAnsi="宋体" w:eastAsia="宋体" w:cs="宋体"/>
                <w:sz w:val="21"/>
              </w:rPr>
              <w:t>1</w:t>
            </w:r>
          </w:p>
        </w:tc>
        <w:tc>
          <w:tcPr>
            <w:tcW w:w="1632" w:type="dxa"/>
            <w:shd w:val="clear" w:color="auto" w:fill="F2F6FA"/>
            <w:vAlign w:val="center"/>
          </w:tcPr>
          <w:p w14:paraId="567048CF">
            <w:pPr>
              <w:spacing w:line="300" w:lineRule="auto" w:after="0"/>
              <w:jc w:val="center"/>
            </w:pPr>
            <w:r>
              <w:rPr>
                <w:rFonts w:ascii="宋体" w:hAnsi="宋体" w:eastAsia="宋体" w:cs="宋体"/>
                <w:sz w:val="21"/>
              </w:rPr>
              <w:t>665</w:t>
            </w:r>
          </w:p>
        </w:tc>
        <w:tc>
          <w:tcPr>
            <w:tcW w:w="1440" w:type="dxa"/>
            <w:shd w:val="clear" w:color="auto" w:fill="F2F6FA"/>
            <w:vAlign w:val="center"/>
          </w:tcPr>
          <w:p w14:paraId="4916A1B5">
            <w:pPr>
              <w:spacing w:line="300" w:lineRule="auto" w:after="0"/>
              <w:jc w:val="center"/>
            </w:pPr>
            <w:r>
              <w:rPr>
                <w:rFonts w:ascii="宋体" w:hAnsi="宋体" w:eastAsia="宋体" w:cs="宋体"/>
                <w:sz w:val="21"/>
              </w:rPr>
              <w:t>9</w:t>
            </w:r>
          </w:p>
        </w:tc>
        <w:tc>
          <w:tcPr>
            <w:tcW w:w="1824" w:type="dxa"/>
            <w:shd w:val="clear" w:color="auto" w:fill="F2F6FA"/>
            <w:vAlign w:val="center"/>
          </w:tcPr>
          <w:p w14:paraId="3F45DCA6">
            <w:pPr>
              <w:spacing w:line="300" w:lineRule="auto" w:after="0"/>
              <w:jc w:val="left"/>
            </w:pPr>
            <w:r>
              <w:rPr>
                <w:rFonts w:ascii="宋体" w:hAnsi="宋体" w:eastAsia="宋体" w:cs="宋体"/>
                <w:sz w:val="21"/>
              </w:rPr>
              <w:t>约 800</w:t>
            </w:r>
          </w:p>
        </w:tc>
      </w:tr>
      <w:tr w14:paraId="79732FE2">
        <w:trPr>
          <w:jc w:val="center"/>
        </w:trPr>
        <w:tc>
          <w:tcPr>
            <w:tcW w:w="1632" w:type="dxa"/>
            <w:vAlign w:val="center"/>
          </w:tcPr>
          <w:p w14:paraId="3D89F9FD">
            <w:pPr>
              <w:spacing w:line="300" w:lineRule="auto" w:after="0"/>
              <w:jc w:val="left"/>
            </w:pPr>
            <w:r>
              <w:rPr>
                <w:rFonts w:ascii="宋体" w:hAnsi="宋体" w:eastAsia="宋体" w:cs="宋体"/>
                <w:sz w:val="21"/>
              </w:rPr>
              <w:t>TAS</w:t>
            </w:r>
          </w:p>
        </w:tc>
        <w:tc>
          <w:tcPr>
            <w:tcW w:w="1632" w:type="dxa"/>
            <w:vAlign w:val="center"/>
          </w:tcPr>
          <w:p w14:paraId="0CFBD99F">
            <w:pPr>
              <w:spacing w:line="300" w:lineRule="auto" w:after="0"/>
              <w:jc w:val="left"/>
            </w:pPr>
            <w:r>
              <w:rPr>
                <w:rFonts w:ascii="宋体" w:hAnsi="宋体" w:eastAsia="宋体" w:cs="宋体"/>
                <w:sz w:val="21"/>
              </w:rPr>
              <w:t>水平边界框</w:t>
            </w:r>
          </w:p>
        </w:tc>
        <w:tc>
          <w:tcPr>
            <w:tcW w:w="1632" w:type="dxa"/>
            <w:vAlign w:val="center"/>
          </w:tcPr>
          <w:p w14:paraId="415210C2">
            <w:pPr>
              <w:spacing w:line="300" w:lineRule="auto" w:after="0"/>
              <w:jc w:val="center"/>
            </w:pPr>
            <w:r>
              <w:rPr>
                <w:rFonts w:ascii="宋体" w:hAnsi="宋体" w:eastAsia="宋体" w:cs="宋体"/>
                <w:sz w:val="21"/>
              </w:rPr>
              <w:t>1</w:t>
            </w:r>
          </w:p>
        </w:tc>
        <w:tc>
          <w:tcPr>
            <w:tcW w:w="1632" w:type="dxa"/>
            <w:vAlign w:val="center"/>
          </w:tcPr>
          <w:p w14:paraId="04A785D7">
            <w:pPr>
              <w:spacing w:line="300" w:lineRule="auto" w:after="0"/>
              <w:jc w:val="left"/>
            </w:pPr>
            <w:r>
              <w:rPr>
                <w:rFonts w:ascii="宋体" w:hAnsi="宋体" w:eastAsia="宋体" w:cs="宋体"/>
                <w:sz w:val="21"/>
              </w:rPr>
              <w:t>1 319</w:t>
            </w:r>
          </w:p>
        </w:tc>
        <w:tc>
          <w:tcPr>
            <w:tcW w:w="1440" w:type="dxa"/>
            <w:vAlign w:val="center"/>
          </w:tcPr>
          <w:p w14:paraId="74EE8B98">
            <w:pPr>
              <w:spacing w:line="300" w:lineRule="auto" w:after="0"/>
              <w:jc w:val="center"/>
            </w:pPr>
            <w:r>
              <w:rPr>
                <w:rFonts w:ascii="宋体" w:hAnsi="宋体" w:eastAsia="宋体" w:cs="宋体"/>
                <w:sz w:val="21"/>
              </w:rPr>
              <w:t>30</w:t>
            </w:r>
          </w:p>
        </w:tc>
        <w:tc>
          <w:tcPr>
            <w:tcW w:w="1824" w:type="dxa"/>
            <w:vAlign w:val="center"/>
          </w:tcPr>
          <w:p w14:paraId="45A60BAE">
            <w:pPr>
              <w:spacing w:line="300" w:lineRule="auto" w:after="0"/>
              <w:jc w:val="center"/>
            </w:pPr>
            <w:r>
              <w:rPr>
                <w:rFonts w:ascii="宋体" w:hAnsi="宋体" w:eastAsia="宋体" w:cs="宋体"/>
                <w:sz w:val="21"/>
              </w:rPr>
              <w:t>792</w:t>
            </w:r>
          </w:p>
        </w:tc>
      </w:tr>
      <w:tr w14:paraId="5A27FC08">
        <w:trPr>
          <w:jc w:val="center"/>
        </w:trPr>
        <w:tc>
          <w:tcPr>
            <w:tcW w:w="1632" w:type="dxa"/>
            <w:shd w:val="clear" w:color="auto" w:fill="F2F6FA"/>
            <w:vAlign w:val="center"/>
          </w:tcPr>
          <w:p w14:paraId="64BFF34B">
            <w:pPr>
              <w:spacing w:line="300" w:lineRule="auto" w:after="0"/>
              <w:jc w:val="left"/>
            </w:pPr>
            <w:r>
              <w:rPr>
                <w:rFonts w:ascii="宋体" w:hAnsi="宋体" w:eastAsia="宋体" w:cs="宋体"/>
                <w:sz w:val="21"/>
              </w:rPr>
              <w:t>COWC</w:t>
            </w:r>
          </w:p>
        </w:tc>
        <w:tc>
          <w:tcPr>
            <w:tcW w:w="1632" w:type="dxa"/>
            <w:shd w:val="clear" w:color="auto" w:fill="F2F6FA"/>
            <w:vAlign w:val="center"/>
          </w:tcPr>
          <w:p w14:paraId="306E2ACD">
            <w:pPr>
              <w:spacing w:line="300" w:lineRule="auto" w:after="0"/>
              <w:jc w:val="left"/>
            </w:pPr>
            <w:r>
              <w:rPr>
                <w:rFonts w:ascii="宋体" w:hAnsi="宋体" w:eastAsia="宋体" w:cs="宋体"/>
                <w:sz w:val="21"/>
              </w:rPr>
              <w:t>中心点标注</w:t>
            </w:r>
          </w:p>
        </w:tc>
        <w:tc>
          <w:tcPr>
            <w:tcW w:w="1632" w:type="dxa"/>
            <w:shd w:val="clear" w:color="auto" w:fill="F2F6FA"/>
            <w:vAlign w:val="center"/>
          </w:tcPr>
          <w:p w14:paraId="56783715">
            <w:pPr>
              <w:spacing w:line="300" w:lineRule="auto" w:after="0"/>
              <w:jc w:val="center"/>
            </w:pPr>
            <w:r>
              <w:rPr>
                <w:rFonts w:ascii="宋体" w:hAnsi="宋体" w:eastAsia="宋体" w:cs="宋体"/>
                <w:sz w:val="21"/>
              </w:rPr>
              <w:t>1</w:t>
            </w:r>
          </w:p>
        </w:tc>
        <w:tc>
          <w:tcPr>
            <w:tcW w:w="1632" w:type="dxa"/>
            <w:shd w:val="clear" w:color="auto" w:fill="F2F6FA"/>
            <w:vAlign w:val="center"/>
          </w:tcPr>
          <w:p w14:paraId="317307C7">
            <w:pPr>
              <w:spacing w:line="300" w:lineRule="auto" w:after="0"/>
              <w:jc w:val="left"/>
            </w:pPr>
            <w:r>
              <w:rPr>
                <w:rFonts w:ascii="宋体" w:hAnsi="宋体" w:eastAsia="宋体" w:cs="宋体"/>
                <w:sz w:val="21"/>
              </w:rPr>
              <w:t>32 716</w:t>
            </w:r>
          </w:p>
        </w:tc>
        <w:tc>
          <w:tcPr>
            <w:tcW w:w="1440" w:type="dxa"/>
            <w:shd w:val="clear" w:color="auto" w:fill="F2F6FA"/>
            <w:vAlign w:val="center"/>
          </w:tcPr>
          <w:p w14:paraId="105E94C6">
            <w:pPr>
              <w:spacing w:line="300" w:lineRule="auto" w:after="0"/>
              <w:jc w:val="center"/>
            </w:pPr>
            <w:r>
              <w:rPr>
                <w:rFonts w:ascii="宋体" w:hAnsi="宋体" w:eastAsia="宋体" w:cs="宋体"/>
                <w:sz w:val="21"/>
              </w:rPr>
              <w:t>53</w:t>
            </w:r>
          </w:p>
        </w:tc>
        <w:tc>
          <w:tcPr>
            <w:tcW w:w="1824" w:type="dxa"/>
            <w:shd w:val="clear" w:color="auto" w:fill="F2F6FA"/>
            <w:vAlign w:val="center"/>
          </w:tcPr>
          <w:p w14:paraId="57BE1CCF">
            <w:pPr>
              <w:spacing w:line="300" w:lineRule="auto" w:after="0"/>
              <w:jc w:val="left"/>
            </w:pPr>
            <w:r>
              <w:rPr>
                <w:rFonts w:ascii="宋体" w:hAnsi="宋体" w:eastAsia="宋体" w:cs="宋体"/>
                <w:sz w:val="21"/>
              </w:rPr>
              <w:t>2 000~19 000</w:t>
            </w:r>
          </w:p>
        </w:tc>
      </w:tr>
      <w:tr w14:paraId="73AA435F">
        <w:trPr>
          <w:jc w:val="center"/>
        </w:trPr>
        <w:tc>
          <w:tcPr>
            <w:tcW w:w="1632" w:type="dxa"/>
            <w:vAlign w:val="center"/>
          </w:tcPr>
          <w:p w14:paraId="586F4C5A">
            <w:pPr>
              <w:spacing w:line="300" w:lineRule="auto" w:after="0"/>
              <w:jc w:val="left"/>
            </w:pPr>
            <w:r>
              <w:rPr>
                <w:rFonts w:ascii="宋体" w:hAnsi="宋体" w:eastAsia="宋体" w:cs="宋体"/>
                <w:sz w:val="21"/>
              </w:rPr>
              <w:t>VEDAI</w:t>
            </w:r>
          </w:p>
        </w:tc>
        <w:tc>
          <w:tcPr>
            <w:tcW w:w="1632" w:type="dxa"/>
            <w:vAlign w:val="center"/>
          </w:tcPr>
          <w:p w14:paraId="23EFDC9A">
            <w:pPr>
              <w:spacing w:line="300" w:lineRule="auto" w:after="0"/>
              <w:jc w:val="left"/>
            </w:pPr>
            <w:r>
              <w:rPr>
                <w:rFonts w:ascii="宋体" w:hAnsi="宋体" w:eastAsia="宋体" w:cs="宋体"/>
                <w:sz w:val="21"/>
              </w:rPr>
              <w:t>旋转边界框</w:t>
            </w:r>
          </w:p>
        </w:tc>
        <w:tc>
          <w:tcPr>
            <w:tcW w:w="1632" w:type="dxa"/>
            <w:vAlign w:val="center"/>
          </w:tcPr>
          <w:p w14:paraId="672B8B7B">
            <w:pPr>
              <w:spacing w:line="300" w:lineRule="auto" w:after="0"/>
              <w:jc w:val="center"/>
            </w:pPr>
            <w:r>
              <w:rPr>
                <w:rFonts w:ascii="宋体" w:hAnsi="宋体" w:eastAsia="宋体" w:cs="宋体"/>
                <w:sz w:val="21"/>
              </w:rPr>
              <w:t>3</w:t>
            </w:r>
          </w:p>
        </w:tc>
        <w:tc>
          <w:tcPr>
            <w:tcW w:w="1632" w:type="dxa"/>
            <w:vAlign w:val="center"/>
          </w:tcPr>
          <w:p w14:paraId="3F0AE4F3">
            <w:pPr>
              <w:spacing w:line="300" w:lineRule="auto" w:after="0"/>
              <w:jc w:val="left"/>
            </w:pPr>
            <w:r>
              <w:rPr>
                <w:rFonts w:ascii="宋体" w:hAnsi="宋体" w:eastAsia="宋体" w:cs="宋体"/>
                <w:sz w:val="21"/>
              </w:rPr>
              <w:t>2 950</w:t>
            </w:r>
          </w:p>
        </w:tc>
        <w:tc>
          <w:tcPr>
            <w:tcW w:w="1440" w:type="dxa"/>
            <w:vAlign w:val="center"/>
          </w:tcPr>
          <w:p w14:paraId="69DA8A7F">
            <w:pPr>
              <w:spacing w:line="300" w:lineRule="auto" w:after="0"/>
              <w:jc w:val="left"/>
            </w:pPr>
            <w:r>
              <w:rPr>
                <w:rFonts w:ascii="宋体" w:hAnsi="宋体" w:eastAsia="宋体" w:cs="宋体"/>
                <w:sz w:val="21"/>
              </w:rPr>
              <w:t>1 268</w:t>
            </w:r>
          </w:p>
        </w:tc>
        <w:tc>
          <w:tcPr>
            <w:tcW w:w="1824" w:type="dxa"/>
            <w:vAlign w:val="center"/>
          </w:tcPr>
          <w:p w14:paraId="32478EA4">
            <w:pPr>
              <w:spacing w:line="300" w:lineRule="auto" w:after="0"/>
              <w:jc w:val="left"/>
            </w:pPr>
            <w:r>
              <w:rPr>
                <w:rFonts w:ascii="宋体" w:hAnsi="宋体" w:eastAsia="宋体" w:cs="宋体"/>
                <w:sz w:val="21"/>
              </w:rPr>
              <w:t>512、1 024</w:t>
            </w:r>
          </w:p>
        </w:tc>
      </w:tr>
      <w:tr w14:paraId="3DF3CFB8">
        <w:trPr>
          <w:jc w:val="center"/>
        </w:trPr>
        <w:tc>
          <w:tcPr>
            <w:tcW w:w="1632" w:type="dxa"/>
            <w:shd w:val="clear" w:color="auto" w:fill="F2F6FA"/>
            <w:vAlign w:val="center"/>
          </w:tcPr>
          <w:p w14:paraId="67C501CC">
            <w:pPr>
              <w:spacing w:line="300" w:lineRule="auto" w:after="0"/>
              <w:jc w:val="left"/>
            </w:pPr>
            <w:r>
              <w:rPr>
                <w:rFonts w:ascii="宋体" w:hAnsi="宋体" w:eastAsia="宋体" w:cs="宋体"/>
                <w:sz w:val="21"/>
              </w:rPr>
              <w:t>UCAS-AOD</w:t>
            </w:r>
          </w:p>
        </w:tc>
        <w:tc>
          <w:tcPr>
            <w:tcW w:w="1632" w:type="dxa"/>
            <w:shd w:val="clear" w:color="auto" w:fill="F2F6FA"/>
            <w:vAlign w:val="center"/>
          </w:tcPr>
          <w:p w14:paraId="149A797F">
            <w:pPr>
              <w:spacing w:line="300" w:lineRule="auto" w:after="0"/>
              <w:jc w:val="left"/>
            </w:pPr>
            <w:r>
              <w:rPr>
                <w:rFonts w:ascii="宋体" w:hAnsi="宋体" w:eastAsia="宋体" w:cs="宋体"/>
                <w:sz w:val="21"/>
              </w:rPr>
              <w:t>旋转边界框</w:t>
            </w:r>
          </w:p>
        </w:tc>
        <w:tc>
          <w:tcPr>
            <w:tcW w:w="1632" w:type="dxa"/>
            <w:shd w:val="clear" w:color="auto" w:fill="F2F6FA"/>
            <w:vAlign w:val="center"/>
          </w:tcPr>
          <w:p w14:paraId="075568FE">
            <w:pPr>
              <w:spacing w:line="300" w:lineRule="auto" w:after="0"/>
              <w:jc w:val="center"/>
            </w:pPr>
            <w:r>
              <w:rPr>
                <w:rFonts w:ascii="宋体" w:hAnsi="宋体" w:eastAsia="宋体" w:cs="宋体"/>
                <w:sz w:val="21"/>
              </w:rPr>
              <w:t>2</w:t>
            </w:r>
          </w:p>
        </w:tc>
        <w:tc>
          <w:tcPr>
            <w:tcW w:w="1632" w:type="dxa"/>
            <w:shd w:val="clear" w:color="auto" w:fill="F2F6FA"/>
            <w:vAlign w:val="center"/>
          </w:tcPr>
          <w:p w14:paraId="38FDF411">
            <w:pPr>
              <w:spacing w:line="300" w:lineRule="auto" w:after="0"/>
              <w:jc w:val="left"/>
            </w:pPr>
            <w:r>
              <w:rPr>
                <w:rFonts w:ascii="宋体" w:hAnsi="宋体" w:eastAsia="宋体" w:cs="宋体"/>
                <w:sz w:val="21"/>
              </w:rPr>
              <w:t>14 596</w:t>
            </w:r>
          </w:p>
        </w:tc>
        <w:tc>
          <w:tcPr>
            <w:tcW w:w="1440" w:type="dxa"/>
            <w:shd w:val="clear" w:color="auto" w:fill="F2F6FA"/>
            <w:vAlign w:val="center"/>
          </w:tcPr>
          <w:p w14:paraId="0E7D9B4E">
            <w:pPr>
              <w:spacing w:line="300" w:lineRule="auto" w:after="0"/>
              <w:jc w:val="left"/>
            </w:pPr>
            <w:r>
              <w:rPr>
                <w:rFonts w:ascii="宋体" w:hAnsi="宋体" w:eastAsia="宋体" w:cs="宋体"/>
                <w:sz w:val="21"/>
              </w:rPr>
              <w:t>1 510</w:t>
            </w:r>
          </w:p>
        </w:tc>
        <w:tc>
          <w:tcPr>
            <w:tcW w:w="1824" w:type="dxa"/>
            <w:shd w:val="clear" w:color="auto" w:fill="F2F6FA"/>
            <w:vAlign w:val="center"/>
          </w:tcPr>
          <w:p w14:paraId="25F03EFD">
            <w:pPr>
              <w:spacing w:line="300" w:lineRule="auto" w:after="0"/>
              <w:jc w:val="left"/>
            </w:pPr>
            <w:r>
              <w:rPr>
                <w:rFonts w:ascii="宋体" w:hAnsi="宋体" w:eastAsia="宋体" w:cs="宋体"/>
                <w:sz w:val="21"/>
              </w:rPr>
              <w:t>约 1 000</w:t>
            </w:r>
          </w:p>
        </w:tc>
      </w:tr>
      <w:tr w14:paraId="62B949FF">
        <w:trPr>
          <w:jc w:val="center"/>
        </w:trPr>
        <w:tc>
          <w:tcPr>
            <w:tcW w:w="1632" w:type="dxa"/>
            <w:vAlign w:val="center"/>
          </w:tcPr>
          <w:p w14:paraId="5FBA834D">
            <w:pPr>
              <w:spacing w:line="300" w:lineRule="auto" w:after="0"/>
              <w:jc w:val="left"/>
            </w:pPr>
            <w:r>
              <w:rPr>
                <w:rFonts w:ascii="宋体" w:hAnsi="宋体" w:eastAsia="宋体" w:cs="宋体"/>
                <w:sz w:val="21"/>
              </w:rPr>
              <w:t>HRSC2016</w:t>
            </w:r>
          </w:p>
        </w:tc>
        <w:tc>
          <w:tcPr>
            <w:tcW w:w="1632" w:type="dxa"/>
            <w:vAlign w:val="center"/>
          </w:tcPr>
          <w:p w14:paraId="0D7F01F2">
            <w:pPr>
              <w:spacing w:line="300" w:lineRule="auto" w:after="0"/>
              <w:jc w:val="left"/>
            </w:pPr>
            <w:r>
              <w:rPr>
                <w:rFonts w:ascii="宋体" w:hAnsi="宋体" w:eastAsia="宋体" w:cs="宋体"/>
                <w:sz w:val="21"/>
              </w:rPr>
              <w:t>旋转边界框</w:t>
            </w:r>
          </w:p>
        </w:tc>
        <w:tc>
          <w:tcPr>
            <w:tcW w:w="1632" w:type="dxa"/>
            <w:vAlign w:val="center"/>
          </w:tcPr>
          <w:p w14:paraId="34A895A1">
            <w:pPr>
              <w:spacing w:line="300" w:lineRule="auto" w:after="0"/>
              <w:jc w:val="center"/>
            </w:pPr>
            <w:r>
              <w:rPr>
                <w:rFonts w:ascii="宋体" w:hAnsi="宋体" w:eastAsia="宋体" w:cs="宋体"/>
                <w:sz w:val="21"/>
              </w:rPr>
              <w:t>1</w:t>
            </w:r>
          </w:p>
        </w:tc>
        <w:tc>
          <w:tcPr>
            <w:tcW w:w="1632" w:type="dxa"/>
            <w:vAlign w:val="center"/>
          </w:tcPr>
          <w:p w14:paraId="128CB408">
            <w:pPr>
              <w:spacing w:line="300" w:lineRule="auto" w:after="0"/>
              <w:jc w:val="left"/>
            </w:pPr>
            <w:r>
              <w:rPr>
                <w:rFonts w:ascii="宋体" w:hAnsi="宋体" w:eastAsia="宋体" w:cs="宋体"/>
                <w:sz w:val="21"/>
              </w:rPr>
              <w:t>2 976</w:t>
            </w:r>
          </w:p>
        </w:tc>
        <w:tc>
          <w:tcPr>
            <w:tcW w:w="1440" w:type="dxa"/>
            <w:vAlign w:val="center"/>
          </w:tcPr>
          <w:p w14:paraId="750AF8E6">
            <w:pPr>
              <w:spacing w:line="300" w:lineRule="auto" w:after="0"/>
              <w:jc w:val="left"/>
            </w:pPr>
            <w:r>
              <w:rPr>
                <w:rFonts w:ascii="宋体" w:hAnsi="宋体" w:eastAsia="宋体" w:cs="宋体"/>
                <w:sz w:val="21"/>
              </w:rPr>
              <w:t>1 061</w:t>
            </w:r>
          </w:p>
        </w:tc>
        <w:tc>
          <w:tcPr>
            <w:tcW w:w="1824" w:type="dxa"/>
            <w:vAlign w:val="center"/>
          </w:tcPr>
          <w:p w14:paraId="50785FF7">
            <w:pPr>
              <w:spacing w:line="300" w:lineRule="auto" w:after="0"/>
              <w:jc w:val="left"/>
            </w:pPr>
            <w:r>
              <w:rPr>
                <w:rFonts w:ascii="宋体" w:hAnsi="宋体" w:eastAsia="宋体" w:cs="宋体"/>
                <w:sz w:val="21"/>
              </w:rPr>
              <w:t>约 1 100</w:t>
            </w:r>
          </w:p>
        </w:tc>
      </w:tr>
      <w:tr w14:paraId="36487202">
        <w:trPr>
          <w:jc w:val="center"/>
        </w:trPr>
        <w:tc>
          <w:tcPr>
            <w:tcW w:w="1632" w:type="dxa"/>
            <w:shd w:val="clear" w:color="auto" w:fill="F2F6FA"/>
            <w:vAlign w:val="center"/>
          </w:tcPr>
          <w:p w14:paraId="11E35A24">
            <w:pPr>
              <w:spacing w:line="300" w:lineRule="auto" w:after="0"/>
              <w:jc w:val="left"/>
            </w:pPr>
            <w:r>
              <w:rPr>
                <w:rFonts w:ascii="宋体" w:hAnsi="宋体" w:eastAsia="宋体" w:cs="宋体"/>
                <w:sz w:val="21"/>
              </w:rPr>
              <w:t>3K Vehicle Detection</w:t>
            </w:r>
          </w:p>
        </w:tc>
        <w:tc>
          <w:tcPr>
            <w:tcW w:w="1632" w:type="dxa"/>
            <w:shd w:val="clear" w:color="auto" w:fill="F2F6FA"/>
            <w:vAlign w:val="center"/>
          </w:tcPr>
          <w:p w14:paraId="437B944A">
            <w:pPr>
              <w:spacing w:line="300" w:lineRule="auto" w:after="0"/>
              <w:jc w:val="left"/>
            </w:pPr>
            <w:r>
              <w:rPr>
                <w:rFonts w:ascii="宋体" w:hAnsi="宋体" w:eastAsia="宋体" w:cs="宋体"/>
                <w:sz w:val="21"/>
              </w:rPr>
              <w:t>旋转边界框</w:t>
            </w:r>
          </w:p>
        </w:tc>
        <w:tc>
          <w:tcPr>
            <w:tcW w:w="1632" w:type="dxa"/>
            <w:shd w:val="clear" w:color="auto" w:fill="F2F6FA"/>
            <w:vAlign w:val="center"/>
          </w:tcPr>
          <w:p w14:paraId="64C9228A">
            <w:pPr>
              <w:spacing w:line="300" w:lineRule="auto" w:after="0"/>
              <w:jc w:val="center"/>
            </w:pPr>
            <w:r>
              <w:rPr>
                <w:rFonts w:ascii="宋体" w:hAnsi="宋体" w:eastAsia="宋体" w:cs="宋体"/>
                <w:sz w:val="21"/>
              </w:rPr>
              <w:t>2</w:t>
            </w:r>
          </w:p>
        </w:tc>
        <w:tc>
          <w:tcPr>
            <w:tcW w:w="1632" w:type="dxa"/>
            <w:shd w:val="clear" w:color="auto" w:fill="F2F6FA"/>
            <w:vAlign w:val="center"/>
          </w:tcPr>
          <w:p w14:paraId="3A12F1C1">
            <w:pPr>
              <w:spacing w:line="300" w:lineRule="auto" w:after="0"/>
              <w:jc w:val="left"/>
            </w:pPr>
            <w:r>
              <w:rPr>
                <w:rFonts w:ascii="宋体" w:hAnsi="宋体" w:eastAsia="宋体" w:cs="宋体"/>
                <w:sz w:val="21"/>
              </w:rPr>
              <w:t>14 235</w:t>
            </w:r>
          </w:p>
        </w:tc>
        <w:tc>
          <w:tcPr>
            <w:tcW w:w="1440" w:type="dxa"/>
            <w:shd w:val="clear" w:color="auto" w:fill="F2F6FA"/>
            <w:vAlign w:val="center"/>
          </w:tcPr>
          <w:p w14:paraId="109B1FC5">
            <w:pPr>
              <w:spacing w:line="300" w:lineRule="auto" w:after="0"/>
              <w:jc w:val="center"/>
            </w:pPr>
            <w:r>
              <w:rPr>
                <w:rFonts w:ascii="宋体" w:hAnsi="宋体" w:eastAsia="宋体" w:cs="宋体"/>
                <w:sz w:val="21"/>
              </w:rPr>
              <w:t>20</w:t>
            </w:r>
          </w:p>
        </w:tc>
        <w:tc>
          <w:tcPr>
            <w:tcW w:w="1824" w:type="dxa"/>
            <w:shd w:val="clear" w:color="auto" w:fill="F2F6FA"/>
            <w:vAlign w:val="center"/>
          </w:tcPr>
          <w:p w14:paraId="71DD5C60">
            <w:pPr>
              <w:spacing w:line="300" w:lineRule="auto" w:after="0"/>
              <w:jc w:val="left"/>
            </w:pPr>
            <w:r>
              <w:rPr>
                <w:rFonts w:ascii="宋体" w:hAnsi="宋体" w:eastAsia="宋体" w:cs="宋体"/>
                <w:sz w:val="21"/>
              </w:rPr>
              <w:t>5 616</w:t>
            </w:r>
          </w:p>
        </w:tc>
      </w:tr>
      <w:tr w14:paraId="092E219C">
        <w:trPr>
          <w:jc w:val="center"/>
        </w:trPr>
        <w:tc>
          <w:tcPr>
            <w:tcW w:w="1632" w:type="dxa"/>
            <w:vAlign w:val="center"/>
          </w:tcPr>
          <w:p w14:paraId="6ED00917">
            <w:pPr>
              <w:spacing w:line="300" w:lineRule="auto" w:after="0"/>
              <w:jc w:val="left"/>
            </w:pPr>
            <w:r>
              <w:rPr>
                <w:rFonts w:ascii="宋体" w:hAnsi="宋体" w:eastAsia="宋体" w:cs="宋体"/>
                <w:sz w:val="21"/>
              </w:rPr>
              <w:t>DOTA v1.0</w:t>
            </w:r>
          </w:p>
        </w:tc>
        <w:tc>
          <w:tcPr>
            <w:tcW w:w="1632" w:type="dxa"/>
            <w:vAlign w:val="center"/>
          </w:tcPr>
          <w:p w14:paraId="604CAF0F">
            <w:pPr>
              <w:spacing w:line="300" w:lineRule="auto" w:after="0"/>
              <w:jc w:val="left"/>
            </w:pPr>
            <w:r>
              <w:rPr>
                <w:rFonts w:ascii="宋体" w:hAnsi="宋体" w:eastAsia="宋体" w:cs="宋体"/>
                <w:sz w:val="21"/>
              </w:rPr>
              <w:t>任意四边形旋转边界框</w:t>
            </w:r>
          </w:p>
        </w:tc>
        <w:tc>
          <w:tcPr>
            <w:tcW w:w="1632" w:type="dxa"/>
            <w:vAlign w:val="center"/>
          </w:tcPr>
          <w:p w14:paraId="43C24E64">
            <w:pPr>
              <w:spacing w:line="300" w:lineRule="auto" w:after="0"/>
              <w:jc w:val="center"/>
            </w:pPr>
            <w:r>
              <w:rPr>
                <w:rFonts w:ascii="宋体" w:hAnsi="宋体" w:eastAsia="宋体" w:cs="宋体"/>
                <w:sz w:val="21"/>
              </w:rPr>
              <w:t>14</w:t>
            </w:r>
          </w:p>
        </w:tc>
        <w:tc>
          <w:tcPr>
            <w:tcW w:w="1632" w:type="dxa"/>
            <w:vAlign w:val="center"/>
          </w:tcPr>
          <w:p w14:paraId="3E3DF624">
            <w:pPr>
              <w:spacing w:line="300" w:lineRule="auto" w:after="0"/>
              <w:jc w:val="left"/>
            </w:pPr>
            <w:r>
              <w:rPr>
                <w:rFonts w:ascii="宋体" w:hAnsi="宋体" w:eastAsia="宋体" w:cs="宋体"/>
                <w:sz w:val="21"/>
              </w:rPr>
              <w:t>188 282</w:t>
            </w:r>
          </w:p>
        </w:tc>
        <w:tc>
          <w:tcPr>
            <w:tcW w:w="1440" w:type="dxa"/>
            <w:vAlign w:val="center"/>
          </w:tcPr>
          <w:p w14:paraId="5D14BDD1">
            <w:pPr>
              <w:spacing w:line="300" w:lineRule="auto" w:after="0"/>
              <w:jc w:val="left"/>
            </w:pPr>
            <w:r>
              <w:rPr>
                <w:rFonts w:ascii="宋体" w:hAnsi="宋体" w:eastAsia="宋体" w:cs="宋体"/>
                <w:sz w:val="21"/>
              </w:rPr>
              <w:t>2 806</w:t>
            </w:r>
          </w:p>
        </w:tc>
        <w:tc>
          <w:tcPr>
            <w:tcW w:w="1824" w:type="dxa"/>
            <w:vAlign w:val="center"/>
          </w:tcPr>
          <w:p w14:paraId="64E6A2D6">
            <w:pPr>
              <w:spacing w:line="300" w:lineRule="auto" w:after="0"/>
              <w:jc w:val="left"/>
            </w:pPr>
            <w:r>
              <w:rPr>
                <w:rFonts w:ascii="宋体" w:hAnsi="宋体" w:eastAsia="宋体" w:cs="宋体"/>
                <w:sz w:val="21"/>
              </w:rPr>
              <w:t>800~4 000</w:t>
            </w:r>
          </w:p>
        </w:tc>
      </w:tr>
    </w:tbl>
    <w:p w14:paraId="7FA0B3BF">
      <w:pPr>
        <w:keepNext w:val="0"/>
        <w:keepLines w:val="0"/>
        <w:pageBreakBefore w:val="0"/>
        <w:widowControl/>
        <w:kinsoku/>
        <w:wordWrap/>
        <w:overflowPunct/>
        <w:topLinePunct w:val="0"/>
        <w:autoSpaceDE/>
        <w:autoSpaceDN/>
        <w:bidi w:val="0"/>
        <w:adjustRightInd/>
        <w:snapToGrid/>
        <w:spacing w:before="200" w:after="200" w:line="360" w:lineRule="auto"/>
        <w:textAlignment w:val="auto"/>
        <w:rPr>
          <w:rFonts w:ascii="宋体" w:hAnsi="宋体" w:eastAsia="宋体" w:cs="宋体"/>
          <w:sz w:val="28"/>
        </w:rPr>
      </w:pPr>
    </w:p>
    <w:p w14:paraId="4BBA389D">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注：表中类别数按主类别统计，因此 DOTA 记为 14 类；若将大型车辆与小型车辆分别计入细分类别，则共 15 类。数据来源：Xia et al.，DOTA: A Large-scale Dataset for Object Detection in Aerial Images，Table 1。</w:t>
      </w:r>
    </w:p>
    <w:p w14:paraId="32F5C600">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从</w:t>
      </w:r>
      <w:r>
        <w:rPr>
          <w:rFonts w:ascii="宋体" w:hAnsi="宋体" w:eastAsia="宋体" w:cs="宋体"/>
          <w:sz w:val="28"/>
        </w:rPr>
        <w:fldChar w:fldCharType="begin"/>
      </w:r>
      <w:r>
        <w:rPr>
          <w:rFonts w:ascii="宋体" w:hAnsi="宋体" w:eastAsia="宋体" w:cs="宋体"/>
          <w:sz w:val="28"/>
        </w:rPr>
        <w:instrText xml:space="preserve">REF ref_表1_1 \h \* MERGEFORMAT</w:instrText>
      </w:r>
      <w:r>
        <w:rPr>
          <w:rFonts w:ascii="宋体" w:hAnsi="宋体" w:eastAsia="宋体" w:cs="宋体"/>
          <w:sz w:val="28"/>
        </w:rPr>
        <w:fldChar w:fldCharType="separate"/>
      </w:r>
      <w:r>
        <w:rPr>
          <w:rFonts w:ascii="宋体" w:hAnsi="宋体" w:eastAsia="宋体" w:cs="宋体"/>
          <w:sz w:val="28"/>
        </w:rPr>
        <w:t>表 1-1</w:t>
      </w:r>
      <w:r>
        <w:rPr>
          <w:rFonts w:ascii="宋体" w:hAnsi="宋体" w:eastAsia="宋体" w:cs="宋体"/>
          <w:sz w:val="28"/>
        </w:rPr>
        <w:fldChar w:fldCharType="end"/>
      </w:r>
      <w:r>
        <w:rPr>
          <w:rFonts w:ascii="宋体" w:hAnsi="宋体" w:eastAsia="宋体" w:cs="宋体"/>
          <w:sz w:val="28"/>
        </w:rPr>
        <w:t xml:space="preserve"> 可以看出，DOTA v1.0 的目标实例总量达到 18.8 万级，超出其他同类数据集一个数量级以上；同时覆盖 14 个主类别，是同领域类别覆盖最全面的数据集之一，并且是少数采用任意四边形旋转边界框标注的大规模数据集，更贴合航空影像目标任意朝向的本质特点。</w:t>
      </w:r>
    </w:p>
    <w:p w14:paraId="0B0CCC36">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该数据集最突出的特征是 单图目标密度极高 。按总实例数与总影像数计算，DOTA 平均每幅影像约包含 67.1 个目标实例，部分影像实例数超过 1000，最高接近 2000。这一密度决定了遥感目标检测必须重点应对密集目标、边界重叠、重复检测等问题，不能直接沿用普通自然场景的稀疏目标检测逻辑。</w:t>
      </w:r>
    </w:p>
    <w:p w14:paraId="4391F0F4">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按目标水平外接框的高度，可将所有实例划分为三个尺度层级：小目标（10-50 像素）、中目标（50-300 像素）、大目标（300 像素以上），三者占比分别约为 57%、41%、2%。不同类别间的像素尺寸差异极大：小型车辆仅约 30 像素，而桥梁类目标可达 1200 像素，尺寸跨度超过 40 倍，对检测模型的多尺度适应能力提出了很高要求。</w:t>
      </w:r>
    </w:p>
    <w:p w14:paraId="710EB4B3">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影像采集自多传感器、多平台，涵盖 Google Earth、航空摄影、卫星遥感等多种数据源，覆盖全球多个城市与地理场景，所有影像均记录精确地理位置与拍摄时间，从源头避免样本重复。单幅原始影像尺寸跨度为 800×800 至 4000×4000 像素，以千像素级大幅影像为主；同时每张影像附带空间分辨率参数，可支撑目标真实尺度分析、分辨率自适应检测等进阶研究。如</w:t>
      </w:r>
      <w:r>
        <w:rPr>
          <w:rFonts w:ascii="宋体" w:hAnsi="宋体" w:eastAsia="宋体" w:cs="宋体"/>
          <w:sz w:val="28"/>
        </w:rPr>
        <w:fldChar w:fldCharType="begin"/>
      </w:r>
      <w:r>
        <w:rPr>
          <w:rFonts w:ascii="宋体" w:hAnsi="宋体" w:cs="宋体" w:eastAsia="宋体"/>
          <w:sz w:val="28"/>
        </w:rPr>
        <w:instrText xml:space="preserve">REF ref_图1_1 \h \* MERGEFORMAT</w:instrText>
      </w:r>
      <w:r>
        <w:rPr>
          <w:rFonts w:ascii="宋体" w:hAnsi="宋体" w:eastAsia="宋体" w:cs="宋体"/>
          <w:sz w:val="28"/>
        </w:rPr>
        <w:fldChar w:fldCharType="separate"/>
      </w:r>
      <w:r>
        <w:rPr>
          <w:rFonts w:ascii="宋体" w:hAnsi="宋体" w:eastAsia="宋体" w:cs="宋体"/>
          <w:sz w:val="28"/>
        </w:rPr>
        <w:t>图 1-1</w:t>
      </w:r>
      <w:r>
        <w:rPr>
          <w:rFonts w:ascii="宋体" w:hAnsi="宋体" w:eastAsia="宋体" w:cs="宋体"/>
          <w:sz w:val="28"/>
        </w:rPr>
        <w:fldChar w:fldCharType="end"/>
      </w:r>
      <w:r>
        <w:rPr>
          <w:rFonts w:ascii="宋体" w:hAnsi="宋体" w:eastAsia="宋体" w:cs="宋体"/>
          <w:sz w:val="28"/>
        </w:rPr>
        <w:t xml:space="preserve"> 所示，单幅大幅航空影像中可同时容纳港口、船舶、车辆、球场等多类地物目标，目标整体呈现尺度跨度大、空间朝向任意、局部分布密集的典型航拍影像特征。</w:t>
      </w:r>
    </w:p>
    <w:p w14:paraId="4F067F3F">
      <w:pPr>
        <w:spacing w:after="120" w:line="360" w:lineRule="auto"/>
        <w:jc w:val="center"/>
      </w:pPr>
      <w:r>
        <w:rPr>
          <w:rFonts w:ascii="宋体" w:hAnsi="宋体" w:eastAsia="宋体" w:cs="宋体"/>
          <w:sz w:val="28"/>
        </w:rPr>
        <w:drawing>
          <wp:inline distT="0" distB="0" distL="114300" distR="114300">
            <wp:extent cx="5715000" cy="2593340"/>
            <wp:effectExtent l="0" t="0" r="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715000" cy="2593791"/>
                    </a:xfrm>
                    <a:prstGeom prst="rect">
                      <a:avLst/>
                    </a:prstGeom>
                  </pic:spPr>
                </pic:pic>
              </a:graphicData>
            </a:graphic>
          </wp:inline>
        </w:drawing>
      </w:r>
    </w:p>
    <w:p w14:paraId="1E4D1AF1">
      <w:pPr>
        <w:spacing w:line="360" w:lineRule="auto" w:after="120"/>
        <w:ind w:firstLine="560"/>
        <w:jc w:val="center"/>
      </w:pPr>
      <w:bookmarkStart w:id="1" w:name="ref_图1_1"/>
      <w:r>
        <w:rPr>
          <w:rFonts w:ascii="宋体" w:hAnsi="宋体" w:eastAsia="宋体" w:cs="宋体"/>
          <w:b/>
          <w:sz w:val="28"/>
        </w:rPr>
        <w:t>图 1-1 DOTA 的典型场景。图中同一幅航空影像同时包含港口、船舶、车辆、球场等目标，彩色四边形显示了目标方向和密集分布。来源：Xia et al., *DOTA: A Large-scale Dataset for Object Detection in Aerial Images*, Fig. 1(a)。</w:t>
      </w:r>
      <w:bookmarkEnd w:id="1"/>
    </w:p>
    <w:p w14:paraId="2709B29E">
      <w:pPr>
        <w:pStyle w:val="5"/>
        <w:rPr>
          <w:rFonts w:hint="eastAsia" w:ascii="等线" w:hAnsi="等线" w:eastAsia="等线" w:cs="等线"/>
        </w:rPr>
      </w:pPr>
      <w:r>
        <w:rPr>
          <w:rFonts w:hint="eastAsia" w:ascii="等线" w:hAnsi="等线" w:eastAsia="等线" w:cs="等线"/>
          <w:b/>
          <w:sz w:val="23"/>
        </w:rPr>
        <w:t>1.1.3 15 个类别与类别语义</w:t>
      </w:r>
    </w:p>
    <w:p w14:paraId="38F4C9EA">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DOTA v1.0 共设置 15 个细分类别，分别为：飞机、船舶、储油罐、棒球场、网球场、篮球场、田径场、港口、桥梁、大型车辆、小型车辆、直升机、环形交叉路口、足球场、游泳池。</w:t>
      </w:r>
    </w:p>
    <w:p w14:paraId="0ABFA931">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pPr>
      <w:r>
        <w:rPr>
          <w:rFonts w:ascii="宋体" w:hAnsi="宋体" w:eastAsia="宋体" w:cs="宋体"/>
          <w:sz w:val="28"/>
        </w:rPr>
        <w:t>其中大型车辆与小型车辆同属车辆大类，但因航拍视角下二者像素尺度、外观特征差异显著，因此拆分为两个独立子类别；若按主类别统计，可合并为 14 个主类别。如</w:t>
      </w:r>
      <w:r>
        <w:rPr>
          <w:rFonts w:ascii="宋体" w:hAnsi="宋体" w:eastAsia="宋体" w:cs="宋体"/>
          <w:sz w:val="28"/>
        </w:rPr>
        <w:fldChar w:fldCharType="begin"/>
      </w:r>
      <w:r>
        <w:rPr>
          <w:rFonts w:ascii="宋体" w:hAnsi="宋体" w:cs="宋体" w:eastAsia="宋体"/>
          <w:sz w:val="28"/>
        </w:rPr>
        <w:instrText xml:space="preserve">REF ref_图1_2 \h \* MERGEFORMAT</w:instrText>
      </w:r>
      <w:r>
        <w:rPr>
          <w:rFonts w:ascii="宋体" w:hAnsi="宋体" w:eastAsia="宋体" w:cs="宋体"/>
          <w:sz w:val="28"/>
        </w:rPr>
        <w:fldChar w:fldCharType="separate"/>
      </w:r>
      <w:r>
        <w:rPr>
          <w:rFonts w:ascii="宋体" w:hAnsi="宋体" w:eastAsia="宋体" w:cs="宋体"/>
          <w:sz w:val="28"/>
        </w:rPr>
        <w:t>图 1-2</w:t>
      </w:r>
      <w:r>
        <w:rPr>
          <w:rFonts w:ascii="宋体" w:hAnsi="宋体" w:eastAsia="宋体" w:cs="宋体"/>
          <w:sz w:val="28"/>
        </w:rPr>
        <w:fldChar w:fldCharType="end"/>
      </w:r>
      <w:r>
        <w:rPr>
          <w:rFonts w:ascii="宋体" w:hAnsi="宋体" w:eastAsia="宋体" w:cs="宋体"/>
          <w:sz w:val="28"/>
        </w:rPr>
        <w:t xml:space="preserve"> 所示，15 类目标覆盖了交通工具、运动场地、工业设施、交通枢纽等多种遥感监测对象，各类目标的外观形态与像素尺度差异明显。</w:t>
      </w:r>
    </w:p>
    <w:p w14:paraId="27F8B9AB">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类别筛选兼顾了视觉可辨识度与实际应用价值：既保留了飞机、船舶、车辆等遥感监测中最常见的目标，也纳入了直升机、环形路口等具备交通监测价值的类别；港口虽属于场景类要素，但其空间边界清晰、样本量充足，同样被纳入检测范畴。这也说明遥感目标检测的对象并不局限于独立物体，具备稳定空间边界的场景单元同样可作为检测目标。</w:t>
      </w:r>
    </w:p>
    <w:p w14:paraId="077BA9A4">
      <w:pPr>
        <w:spacing w:after="120" w:line="360" w:lineRule="auto"/>
        <w:jc w:val="center"/>
      </w:pPr>
      <w:r>
        <w:rPr>
          <w:rFonts w:ascii="宋体" w:hAnsi="宋体" w:eastAsia="宋体" w:cs="宋体"/>
          <w:sz w:val="28"/>
        </w:rPr>
        <w:drawing>
          <wp:inline distT="0" distB="0" distL="114300" distR="114300">
            <wp:extent cx="5715000" cy="4527550"/>
            <wp:effectExtent l="0" t="0" r="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715000" cy="4527899"/>
                    </a:xfrm>
                    <a:prstGeom prst="rect">
                      <a:avLst/>
                    </a:prstGeom>
                  </pic:spPr>
                </pic:pic>
              </a:graphicData>
            </a:graphic>
          </wp:inline>
        </w:drawing>
      </w:r>
    </w:p>
    <w:p w14:paraId="619F40A6">
      <w:pPr>
        <w:spacing w:line="360" w:lineRule="auto" w:after="120"/>
        <w:ind w:firstLine="560"/>
        <w:jc w:val="center"/>
      </w:pPr>
      <w:bookmarkStart w:id="2" w:name="ref_图1_2"/>
      <w:r>
        <w:rPr>
          <w:rFonts w:ascii="宋体" w:hAnsi="宋体" w:eastAsia="宋体" w:cs="宋体"/>
          <w:b/>
          <w:sz w:val="28"/>
        </w:rPr>
        <w:t>图 1-2 DOTA 的类别样本。图中展示 large-vehicle、swimming pool、helicopter、bridge、plane、ship、soccer-ball field、basketball court 等类别，并用不同颜色的四边形和黄色起始点表示标注，体现了类别间的尺度、形状和方向差异。来源：Xia et al., Fig. 4。</w:t>
      </w:r>
      <w:bookmarkEnd w:id="2"/>
    </w:p>
    <w:p w14:paraId="333BE9A8">
      <w:pPr>
        <w:pStyle w:val="5"/>
        <w:rPr>
          <w:rFonts w:hint="eastAsia" w:ascii="等线" w:hAnsi="等线" w:eastAsia="等线" w:cs="等线"/>
        </w:rPr>
      </w:pPr>
      <w:r>
        <w:rPr>
          <w:rFonts w:hint="eastAsia" w:ascii="等线" w:hAnsi="等线" w:eastAsia="等线" w:cs="等线"/>
          <w:b/>
          <w:sz w:val="23"/>
        </w:rPr>
        <w:t>1.1.4 任意四边形标注体系</w:t>
      </w:r>
    </w:p>
    <w:p w14:paraId="373A6C25">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DOTA 的核心创新之一是采用任意四边形有向边界框（OBB） 替代传统的水平边界框（HBB）。普通水平边界框由左上角与右下角坐标定义，仅适用于正立、稀疏的自然场景目标。而航拍视角下，船舶、飞机、车辆、桥梁等目标可呈任意朝向，水平框会包裹大量冗余背景，在密集场景中相邻目标的框体还会出现大面积重叠，导致非极大值抑制错误过滤真实目标。四边形标注通过 4 个按顺时针顺序排列的顶点坐标描述目标，共 8 个自由度，能够紧凑包裹任意朝向的目标，有效缓解密集场景的框体重叠问题。对于飞机、船舶、车辆、直升机等有明确 “头部” 的目标，标注的第一个顶点对应目标头部，可用于朝向估计、运动方向分析等拓展任务；对于球场、桥梁等无明确头部的地物，默认以左上角点为起始顶点。如</w:t>
      </w:r>
      <w:r>
        <w:rPr>
          <w:rFonts w:ascii="宋体" w:hAnsi="宋体" w:eastAsia="宋体" w:cs="宋体"/>
          <w:sz w:val="28"/>
        </w:rPr>
        <w:fldChar w:fldCharType="begin"/>
      </w:r>
      <w:r>
        <w:rPr>
          <w:rFonts w:ascii="宋体" w:hAnsi="宋体" w:cs="宋体" w:eastAsia="宋体"/>
          <w:sz w:val="28"/>
        </w:rPr>
        <w:instrText xml:space="preserve">REF ref_图1_3 \h \* MERGEFORMAT</w:instrText>
      </w:r>
      <w:r>
        <w:rPr>
          <w:rFonts w:ascii="宋体" w:hAnsi="宋体" w:eastAsia="宋体" w:cs="宋体"/>
          <w:sz w:val="28"/>
        </w:rPr>
        <w:fldChar w:fldCharType="separate"/>
      </w:r>
      <w:r>
        <w:rPr>
          <w:rFonts w:ascii="宋体" w:hAnsi="宋体" w:eastAsia="宋体" w:cs="宋体"/>
          <w:sz w:val="28"/>
        </w:rPr>
        <w:t>图 1-3</w:t>
      </w:r>
      <w:r>
        <w:rPr>
          <w:rFonts w:ascii="宋体" w:hAnsi="宋体" w:eastAsia="宋体" w:cs="宋体"/>
          <w:sz w:val="28"/>
        </w:rPr>
        <w:fldChar w:fldCharType="end"/>
      </w:r>
      <w:r>
        <w:rPr>
          <w:rFonts w:ascii="宋体" w:hAnsi="宋体" w:eastAsia="宋体" w:cs="宋体"/>
          <w:sz w:val="28"/>
        </w:rPr>
        <w:t xml:space="preserve"> 所示，以飞机目标为例，标注的起始顶点对应机头位置，能够清晰传递目标的方向信息，满足旋转检测的标注需求。</w:t>
      </w:r>
    </w:p>
    <w:p w14:paraId="78AC0E81">
      <w:pPr>
        <w:spacing w:after="120" w:line="360" w:lineRule="auto"/>
        <w:jc w:val="center"/>
      </w:pPr>
      <w:r>
        <w:rPr>
          <w:rFonts w:ascii="宋体" w:hAnsi="宋体" w:eastAsia="宋体" w:cs="宋体"/>
          <w:sz w:val="28"/>
        </w:rPr>
        <w:drawing>
          <wp:inline distT="0" distB="0" distL="114300" distR="114300">
            <wp:extent cx="5715000" cy="4448175"/>
            <wp:effectExtent l="0" t="0" r="0"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715000" cy="4448608"/>
                    </a:xfrm>
                    <a:prstGeom prst="rect">
                      <a:avLst/>
                    </a:prstGeom>
                  </pic:spPr>
                </pic:pic>
              </a:graphicData>
            </a:graphic>
          </wp:inline>
        </w:drawing>
      </w:r>
    </w:p>
    <w:p w14:paraId="6050D28E">
      <w:pPr>
        <w:spacing w:line="360" w:lineRule="auto" w:after="120"/>
        <w:ind w:firstLine="560"/>
        <w:jc w:val="center"/>
      </w:pPr>
      <w:bookmarkStart w:id="3" w:name="ref_图1_3"/>
      <w:r>
        <w:rPr>
          <w:rFonts w:ascii="宋体" w:hAnsi="宋体" w:eastAsia="宋体" w:cs="宋体"/>
          <w:b/>
          <w:sz w:val="28"/>
        </w:rPr>
        <w:t>图 1-3 DOTA 飞机目标的旋转框示例。黄色点表示四边形起始点，紫色四边形表示方向敏感标注。课堂操作时应核对点序，而不是只检查四个坐标是否落在图像内。来源：Xia et al., Fig. 3。</w:t>
      </w:r>
      <w:bookmarkEnd w:id="3"/>
    </w:p>
    <w:p w14:paraId="2CD2AC94">
      <w:pPr>
        <w:pStyle w:val="5"/>
        <w:rPr>
          <w:rFonts w:hint="eastAsia" w:ascii="等线" w:hAnsi="等线" w:eastAsia="等线" w:cs="等线"/>
        </w:rPr>
      </w:pPr>
      <w:r>
        <w:rPr>
          <w:rFonts w:hint="eastAsia" w:ascii="等线" w:hAnsi="等线" w:eastAsia="等线" w:cs="等线"/>
          <w:b/>
          <w:sz w:val="23"/>
        </w:rPr>
        <w:t>1.1.5 数据划分与大图切片方案</w:t>
      </w:r>
    </w:p>
    <w:p w14:paraId="59CD9F34">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DOTA v1.0 采用随机划分策略，训练集、验证集、测试集占比分别为 1/2、1/6、1/3。其中测试集标注不对外公开，需通过官方评估服务器提交检测结果。教学实验中可基于训练集与验证集自行拆分实验子集，但需遵循原始大图的空间完整性，不可将同一幅大图裁切出的相邻切片分别划入训练集与测试集，避免造成空间信息泄露。</w:t>
      </w:r>
    </w:p>
    <w:p w14:paraId="325A4FDB">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由于原始大幅影像无法直接输入检测网络，标准处理流程采用滑窗裁剪方式：将原图裁切为 1024×1024 的图像块，滑动步长设为 512 像素。裁剪过程中，单个目标可能被分割为两部分，通过切片部分面积与原目标面积的比值判定标注有效性：比值小于 0.7 时，该切片内的目标标记为困难样本；比值大于等于 0.7 时，保留完整标注。推理阶段先对所有切片分别检测，再将结果坐标映射回原图坐标系，最后按类别执行非极大值抑制得到最终结果。</w:t>
      </w:r>
    </w:p>
    <w:p w14:paraId="102ADFF9">
      <w:pPr>
        <w:pStyle w:val="5"/>
        <w:rPr>
          <w:rFonts w:hint="eastAsia" w:ascii="等线" w:hAnsi="等线" w:eastAsia="等线" w:cs="等线"/>
        </w:rPr>
      </w:pPr>
      <w:r>
        <w:rPr>
          <w:rFonts w:hint="eastAsia" w:ascii="等线" w:hAnsi="等线" w:eastAsia="等线" w:cs="等线"/>
          <w:b/>
          <w:sz w:val="23"/>
        </w:rPr>
        <w:t>1.1.6 基准模型性能表现</w:t>
      </w:r>
    </w:p>
    <w:p w14:paraId="180686E2">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基于 DOTA 数据集，可分别开展水平边界框（HBB）与有向边界框（OBB）两类检测任务的基准测试。</w:t>
      </w:r>
    </w:p>
    <w:p w14:paraId="0A21F5AF">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在水平框检测任务中，经典检测模型的平均精度表现为：Faster R-CNN 约 60.46%，R-FCN 约 52.58%，YOLOv2 约 39.20%，SSD 约 29.86%。不同类别性能差异显著：飞机、网球场、游泳池等大尺寸、稀疏分布的目标精度较高，小型车辆、大型车辆、船舶等小尺寸、密集分布的目标精度明显偏低。</w:t>
      </w:r>
    </w:p>
    <w:p w14:paraId="79BCE30D">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pPr>
      <w:r>
        <w:rPr>
          <w:rFonts w:ascii="宋体" w:hAnsi="宋体" w:eastAsia="宋体" w:cs="宋体"/>
          <w:sz w:val="28"/>
        </w:rPr>
        <w:t>在有向框检测任务中，经过改造、直接回归四边形坐标的 Faster R-CNN 平均精度可达 54.13%，而使用水平框训练的模型直接迁移到有向框任务时，平均精度仅约 39.95%。这说明定向标注能够更精准地描述航拍目标，有效提升密集、朝向多变场景的检测效果；但桥梁、港口等大长宽比目标，以及极高密度区域的目标，仍然是检测的难点。</w:t>
      </w:r>
    </w:p>
    <w:p w14:paraId="4D09FE84">
      <w:pPr>
        <w:pStyle w:val="5"/>
        <w:rPr>
          <w:rFonts w:hint="eastAsia" w:ascii="等线" w:hAnsi="等线" w:eastAsia="等线" w:cs="等线"/>
        </w:rPr>
      </w:pPr>
      <w:r>
        <w:rPr>
          <w:rFonts w:hint="eastAsia" w:ascii="等线" w:hAnsi="等线" w:eastAsia="等线" w:cs="等线"/>
          <w:b/>
          <w:sz w:val="23"/>
        </w:rPr>
        <w:t>1.1.7 教学实训使用建议</w:t>
      </w:r>
    </w:p>
    <w:p w14:paraId="52120C4F">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基础验证实验中，可先筛选飞机、船舶、小型车辆、大型车辆、港口 5 类典型目标，将标注转换为水平框，用于训练 Faster R-CNN、YOLO 等基础检测模型，掌握遥感目标检测的基本流程。进阶旋转框实验再保留原始四边形，使用 MMRotate算法库 的 Oriented R-CNN 或 Rotated RetinaNet检测模型开展训练，重点理解旋转框回归、滑窗裁剪、结果拼接等遥感专属处理逻辑。</w:t>
      </w:r>
    </w:p>
    <w:p w14:paraId="1E3A488E">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完成三张图：一张显示原始大图与密集标注，一张显示 1024×1024 切片及边界目标，一张显示模型预测和 NMS 后结果。报告至少统计总实例数、每类实例数、目标尺寸分布、HBB/OBB 标注差异和切片后丢弃目标数。</w:t>
      </w:r>
    </w:p>
    <w:p w14:paraId="074FEDC9">
      <w:pPr>
        <w:keepNext w:val="0"/>
        <w:keepLines w:val="0"/>
        <w:pageBreakBefore w:val="0"/>
        <w:widowControl/>
        <w:kinsoku/>
        <w:wordWrap/>
        <w:overflowPunct/>
        <w:topLinePunct w:val="0"/>
        <w:autoSpaceDE/>
        <w:autoSpaceDN/>
        <w:bidi w:val="0"/>
        <w:adjustRightInd/>
        <w:snapToGrid/>
        <w:spacing w:before="100" w:after="120" w:line="360" w:lineRule="auto"/>
        <w:ind w:firstLineChars="200" w:firstLine="560"/>
        <w:textAlignment w:val="auto"/>
        <w:rPr>
          <w:rFonts w:ascii="宋体" w:hAnsi="宋体" w:eastAsia="宋体" w:cs="宋体"/>
          <w:sz w:val="28"/>
        </w:rPr>
      </w:pPr>
      <w:r>
        <w:rPr>
          <w:rFonts w:ascii="宋体" w:hAnsi="宋体" w:eastAsia="宋体" w:cs="宋体"/>
          <w:sz w:val="28"/>
        </w:rPr>
        <w:t>教学检查顺序是：先确认下载版本，再核对类别名称与 ID；然后随机可视化四边形点序；接着统计小、中、大目标比例；最后才执行模型训练。若某类 AP 很低，应先按目标尺寸、密度、方向和背景分析，而不是立即更换模型。DOTA 的价值就在于它把遥感检测中的尺度变化、任意方向、密集目标、长宽比变化、空间分辨率和跨场景泛化问题集中在同一数据基准中。</w:t>
      </w:r>
    </w:p>
    <w:p w14:paraId="79FE35CD">
      <w:pPr>
        <w:pStyle w:val="4"/>
        <w:rPr>
          <w:rFonts w:hint="eastAsia" w:ascii="等线" w:hAnsi="等线" w:eastAsia="等线" w:cs="等线"/>
        </w:rPr>
      </w:pPr>
      <w:r>
        <w:rPr>
          <w:rFonts w:hint="eastAsia" w:ascii="等线" w:hAnsi="等线" w:eastAsia="等线" w:cs="等线"/>
          <w:b/>
          <w:sz w:val="26"/>
        </w:rPr>
        <w:t>1.2 DIOR</w:t>
      </w:r>
      <w:bookmarkStart w:id="10" w:name="_GoBack"/>
      <w:bookmarkEnd w:id="10"/>
    </w:p>
    <w:p w14:paraId="69A720EB">
      <w:pPr>
        <w:pStyle w:val="5"/>
        <w:rPr>
          <w:rFonts w:hint="eastAsia" w:ascii="等线" w:hAnsi="等线" w:eastAsia="等线" w:cs="等线"/>
        </w:rPr>
      </w:pPr>
      <w:r>
        <w:rPr>
          <w:rFonts w:hint="eastAsia" w:ascii="等线" w:hAnsi="等线" w:eastAsia="等线" w:cs="等线"/>
          <w:b/>
          <w:sz w:val="23"/>
        </w:rPr>
        <w:t>1.2.1 数据定位与来源</w:t>
      </w:r>
    </w:p>
    <w:p w14:paraId="6707A9F9">
      <w:pPr>
        <w:spacing w:after="120" w:line="360" w:lineRule="auto"/>
        <w:ind w:firstLine="560"/>
        <w:rPr>
          <w:rFonts w:ascii="宋体" w:hAnsi="宋体" w:eastAsia="宋体" w:cs="宋体"/>
          <w:sz w:val="28"/>
        </w:rPr>
      </w:pPr>
      <w:r>
        <w:rPr>
          <w:rFonts w:ascii="宋体" w:hAnsi="宋体" w:eastAsia="宋体" w:cs="宋体"/>
          <w:sz w:val="28"/>
        </w:rPr>
        <w:t>DIOR 全称为 Dataset for Object Detection in Optical Remote Sensing Images ，是西北工业大学程塨团队构建的大规模光学遥感目标检测基准数据集，核心成果发表于 ISPRS Journal of Photogrammetry and Remote Sensing，官方获取入口为</w:t>
      </w:r>
      <w:r>
        <w:rPr>
          <w:rFonts w:ascii="宋体" w:hAnsi="宋体" w:eastAsia="宋体" w:cs="宋体"/>
          <w:color w:val="0000FF"/>
          <w:sz w:val="28"/>
        </w:rPr>
        <w:t>https://gcheng-nwpu.github.io/#datasets</w:t>
      </w:r>
      <w:r>
        <w:rPr>
          <w:rFonts w:ascii="宋体" w:hAnsi="宋体" w:eastAsia="宋体" w:cs="宋体"/>
          <w:sz w:val="28"/>
        </w:rPr>
        <w:t>。</w:t>
      </w:r>
      <w:r>
        <w:rPr>
          <w:rFonts w:ascii="宋体" w:hAnsi="宋体" w:eastAsia="宋体" w:cs="宋体"/>
          <w:sz w:val="28"/>
        </w:rPr>
        <w:t>与 DOTA 聚焦旋转目标、采用大幅影像与四边形标注不同，DIOR 以统一尺寸的光学遥感影像和标准水平边界框为核心组织形式，兼容绝大多数通用目标检测算法，无需额外改造即可开展训练。它是遥感目标检测入门阶段的核心教学数据集，适合开展类别识别、目标定位、多尺度检测与复杂背景误检分析等基础训练，可作为从常规目标检测过渡到 DOTA 旋转框检测的前置学习载体，二者共同构成 水平框入门到旋转框进阶的递进式实训路径。</w:t>
      </w:r>
    </w:p>
    <w:p w14:paraId="0BDB6923">
      <w:pPr>
        <w:pStyle w:val="5"/>
        <w:rPr>
          <w:rFonts w:hint="eastAsia" w:ascii="等线" w:hAnsi="等线" w:eastAsia="等线" w:cs="等线"/>
        </w:rPr>
      </w:pPr>
      <w:r>
        <w:rPr>
          <w:rFonts w:hint="eastAsia" w:ascii="等线" w:hAnsi="等线" w:eastAsia="等线" w:cs="等线"/>
          <w:b/>
          <w:sz w:val="23"/>
        </w:rPr>
        <w:t>1.2.2 数据规模与成像特性</w:t>
      </w:r>
    </w:p>
    <w:p w14:paraId="232DBF8E">
      <w:pPr>
        <w:spacing w:after="120" w:line="360" w:lineRule="auto"/>
        <w:ind w:firstLine="560"/>
        <w:rPr>
          <w:rFonts w:ascii="宋体" w:hAnsi="宋体" w:eastAsia="宋体" w:cs="宋体"/>
          <w:sz w:val="28"/>
        </w:rPr>
      </w:pPr>
      <w:r>
        <w:rPr>
          <w:rFonts w:ascii="宋体" w:hAnsi="宋体" w:eastAsia="宋体" w:cs="宋体"/>
          <w:sz w:val="28"/>
        </w:rPr>
        <w:t>DIOR 共包含 23463 幅 800×800 像素的光学遥感影像，累计 192472 个标注目标实例，覆盖 20 个地物类别。影像主要采集自 Google Earth，空间分辨率覆盖 0.5–30m，来源跨越全球 80 余个国家和地区，涵盖不同的地理风貌、城市形态与地物类型。</w:t>
      </w:r>
      <w:r>
        <w:rPr>
          <w:rFonts w:ascii="宋体" w:hAnsi="宋体" w:eastAsia="宋体" w:cs="宋体"/>
          <w:sz w:val="28"/>
        </w:rPr>
        <w:fldChar w:fldCharType="begin"/>
      </w:r>
      <w:r>
        <w:rPr>
          <w:rFonts w:ascii="宋体" w:hAnsi="宋体" w:cs="宋体" w:eastAsia="宋体"/>
          <w:sz w:val="28"/>
        </w:rPr>
        <w:instrText xml:space="preserve">REF ref_表1_2 \h \* MERGEFORMAT</w:instrText>
      </w:r>
      <w:r>
        <w:rPr>
          <w:rFonts w:ascii="宋体" w:hAnsi="宋体" w:eastAsia="宋体" w:cs="宋体"/>
          <w:sz w:val="28"/>
        </w:rPr>
        <w:fldChar w:fldCharType="separate"/>
      </w:r>
      <w:r>
        <w:rPr>
          <w:rFonts w:ascii="宋体" w:hAnsi="宋体" w:eastAsia="宋体" w:cs="宋体"/>
          <w:sz w:val="28"/>
        </w:rPr>
        <w:t>表 1-2</w:t>
      </w:r>
      <w:r>
        <w:rPr>
          <w:rFonts w:ascii="宋体" w:hAnsi="宋体" w:eastAsia="宋体" w:cs="宋体"/>
          <w:sz w:val="28"/>
        </w:rPr>
        <w:fldChar w:fldCharType="end"/>
      </w:r>
      <w:r>
        <w:rPr>
          <w:rFonts w:ascii="宋体" w:hAnsi="宋体" w:eastAsia="宋体" w:cs="宋体"/>
          <w:sz w:val="28"/>
        </w:rPr>
        <w:t xml:space="preserve"> 将 DIOR 与同期代表性光学遥感检测数据集进行了对比。可以看到DIOR 在类别数量、影像总量、实例规模三个维度上同时具备显著优势，同时保持了统一的图像尺寸与标准水平框标注协议，非常适合作为标准化的教学基准。</w:t>
      </w:r>
    </w:p>
    <w:p w14:paraId="46C58704">
      <w:pPr>
        <w:spacing w:line="360" w:lineRule="auto" w:after="120"/>
        <w:ind w:firstLine="560"/>
        <w:jc w:val="center"/>
      </w:pPr>
      <w:bookmarkStart w:id="4" w:name="ref_表1_2"/>
      <w:r>
        <w:rPr>
          <w:rFonts w:ascii="宋体" w:hAnsi="宋体" w:eastAsia="宋体" w:cs="宋体"/>
          <w:b/>
          <w:sz w:val="28"/>
        </w:rPr>
        <w:t>表 1-2 DIOR 与公开光学遥感目标检测数据集的比较</w:t>
      </w:r>
      <w:bookmarkEnd w:id="4"/>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autofit"/>
        <w:tblCellMar>
          <w:top w:w="0" w:type="dxa"/>
          <w:left w:w="108" w:type="dxa"/>
          <w:bottom w:w="0" w:type="dxa"/>
          <w:right w:w="108" w:type="dxa"/>
        </w:tblCellMar>
      </w:tblPr>
      <w:tblGrid>
        <w:gridCol w:w="1399"/>
        <w:gridCol w:w="1399"/>
        <w:gridCol w:w="1399"/>
        <w:gridCol w:w="1399"/>
        <w:gridCol w:w="1399"/>
        <w:gridCol w:w="1399"/>
        <w:gridCol w:w="1399"/>
      </w:tblGrid>
      <w:tr w14:paraId="64C99392">
        <w:trPr>
          <w:jc w:val="center"/>
        </w:trPr>
        <w:tc>
          <w:tcPr>
            <w:tcW w:w="1399" w:type="dxa"/>
            <w:shd w:val="clear" w:color="auto" w:fill="1F4E78"/>
            <w:vAlign w:val="center"/>
          </w:tcPr>
          <w:p w14:paraId="3957E0CA">
            <w:pPr>
              <w:spacing w:line="300" w:lineRule="auto" w:after="0"/>
              <w:jc w:val="center"/>
            </w:pPr>
            <w:r>
              <w:rPr>
                <w:rFonts w:ascii="宋体" w:hAnsi="宋体" w:eastAsia="宋体" w:cs="宋体"/>
                <w:b/>
                <w:color w:val="FFFFFF"/>
                <w:sz w:val="21"/>
              </w:rPr>
              <w:t>数据集</w:t>
            </w:r>
          </w:p>
        </w:tc>
        <w:tc>
          <w:tcPr>
            <w:tcW w:w="1399" w:type="dxa"/>
            <w:shd w:val="clear" w:color="auto" w:fill="1F4E78"/>
            <w:vAlign w:val="center"/>
          </w:tcPr>
          <w:p w14:paraId="48111213">
            <w:pPr>
              <w:spacing w:line="300" w:lineRule="auto" w:after="0"/>
              <w:jc w:val="center"/>
            </w:pPr>
            <w:r>
              <w:rPr>
                <w:rFonts w:ascii="宋体" w:hAnsi="宋体" w:eastAsia="宋体" w:cs="宋体"/>
                <w:b/>
                <w:color w:val="FFFFFF"/>
                <w:sz w:val="21"/>
              </w:rPr>
              <w:t>类别数</w:t>
            </w:r>
          </w:p>
        </w:tc>
        <w:tc>
          <w:tcPr>
            <w:tcW w:w="1399" w:type="dxa"/>
            <w:shd w:val="clear" w:color="auto" w:fill="1F4E78"/>
            <w:vAlign w:val="center"/>
          </w:tcPr>
          <w:p w14:paraId="393E02DC">
            <w:pPr>
              <w:spacing w:line="300" w:lineRule="auto" w:after="0"/>
              <w:jc w:val="center"/>
            </w:pPr>
            <w:r>
              <w:rPr>
                <w:rFonts w:ascii="宋体" w:hAnsi="宋体" w:eastAsia="宋体" w:cs="宋体"/>
                <w:b/>
                <w:color w:val="FFFFFF"/>
                <w:sz w:val="21"/>
              </w:rPr>
              <w:t>影像数量</w:t>
            </w:r>
          </w:p>
        </w:tc>
        <w:tc>
          <w:tcPr>
            <w:tcW w:w="1399" w:type="dxa"/>
            <w:shd w:val="clear" w:color="auto" w:fill="1F4E78"/>
            <w:vAlign w:val="center"/>
          </w:tcPr>
          <w:p w14:paraId="20DABD28">
            <w:pPr>
              <w:spacing w:line="300" w:lineRule="auto" w:after="0"/>
              <w:jc w:val="center"/>
            </w:pPr>
            <w:r>
              <w:rPr>
                <w:rFonts w:ascii="宋体" w:hAnsi="宋体" w:eastAsia="宋体" w:cs="宋体"/>
                <w:b/>
                <w:color w:val="FFFFFF"/>
                <w:sz w:val="21"/>
              </w:rPr>
              <w:t>目标实例数</w:t>
            </w:r>
          </w:p>
        </w:tc>
        <w:tc>
          <w:tcPr>
            <w:tcW w:w="1399" w:type="dxa"/>
            <w:shd w:val="clear" w:color="auto" w:fill="1F4E78"/>
            <w:vAlign w:val="center"/>
          </w:tcPr>
          <w:p w14:paraId="2FC1A610">
            <w:pPr>
              <w:spacing w:line="300" w:lineRule="auto" w:after="0"/>
              <w:jc w:val="center"/>
            </w:pPr>
            <w:r>
              <w:rPr>
                <w:rFonts w:ascii="宋体" w:hAnsi="宋体" w:eastAsia="宋体" w:cs="宋体"/>
                <w:b/>
                <w:color w:val="FFFFFF"/>
                <w:sz w:val="21"/>
              </w:rPr>
              <w:t>影像宽度（像素）</w:t>
            </w:r>
          </w:p>
        </w:tc>
        <w:tc>
          <w:tcPr>
            <w:tcW w:w="1399" w:type="dxa"/>
            <w:shd w:val="clear" w:color="auto" w:fill="1F4E78"/>
            <w:vAlign w:val="center"/>
          </w:tcPr>
          <w:p w14:paraId="412C6827">
            <w:pPr>
              <w:spacing w:line="300" w:lineRule="auto" w:after="0"/>
              <w:jc w:val="center"/>
            </w:pPr>
            <w:r>
              <w:rPr>
                <w:rFonts w:ascii="宋体" w:hAnsi="宋体" w:eastAsia="宋体" w:cs="宋体"/>
                <w:b/>
                <w:color w:val="FFFFFF"/>
                <w:sz w:val="21"/>
              </w:rPr>
              <w:t>标注方式</w:t>
            </w:r>
          </w:p>
        </w:tc>
        <w:tc>
          <w:tcPr>
            <w:tcW w:w="1399" w:type="dxa"/>
            <w:shd w:val="clear" w:color="auto" w:fill="1F4E78"/>
            <w:vAlign w:val="center"/>
          </w:tcPr>
          <w:p w14:paraId="029822CE">
            <w:pPr>
              <w:spacing w:line="300" w:lineRule="auto" w:after="0"/>
              <w:jc w:val="center"/>
            </w:pPr>
            <w:r>
              <w:rPr>
                <w:rFonts w:ascii="宋体" w:hAnsi="宋体" w:eastAsia="宋体" w:cs="宋体"/>
                <w:b/>
                <w:color w:val="FFFFFF"/>
                <w:sz w:val="21"/>
              </w:rPr>
              <w:t>发布年份</w:t>
            </w:r>
          </w:p>
        </w:tc>
      </w:tr>
      <w:tr w14:paraId="0B9502E5">
        <w:trPr>
          <w:jc w:val="center"/>
        </w:trPr>
        <w:tc>
          <w:tcPr>
            <w:tcW w:w="1399" w:type="dxa"/>
            <w:vAlign w:val="center"/>
          </w:tcPr>
          <w:p w14:paraId="33394EBE">
            <w:pPr>
              <w:spacing w:line="300" w:lineRule="auto" w:after="0"/>
              <w:jc w:val="left"/>
            </w:pPr>
            <w:r>
              <w:rPr>
                <w:rFonts w:ascii="宋体" w:hAnsi="宋体" w:eastAsia="宋体" w:cs="宋体"/>
                <w:sz w:val="21"/>
              </w:rPr>
              <w:t>TAS</w:t>
            </w:r>
          </w:p>
        </w:tc>
        <w:tc>
          <w:tcPr>
            <w:tcW w:w="1399" w:type="dxa"/>
            <w:vAlign w:val="center"/>
          </w:tcPr>
          <w:p w14:paraId="2563AC79">
            <w:pPr>
              <w:spacing w:line="300" w:lineRule="auto" w:after="0"/>
              <w:jc w:val="center"/>
            </w:pPr>
            <w:r>
              <w:rPr>
                <w:rFonts w:ascii="宋体" w:hAnsi="宋体" w:eastAsia="宋体" w:cs="宋体"/>
                <w:sz w:val="21"/>
              </w:rPr>
              <w:t>1</w:t>
            </w:r>
          </w:p>
        </w:tc>
        <w:tc>
          <w:tcPr>
            <w:tcW w:w="1399" w:type="dxa"/>
            <w:vAlign w:val="center"/>
          </w:tcPr>
          <w:p w14:paraId="172430B6">
            <w:pPr>
              <w:spacing w:line="300" w:lineRule="auto" w:after="0"/>
              <w:jc w:val="center"/>
            </w:pPr>
            <w:r>
              <w:rPr>
                <w:rFonts w:ascii="宋体" w:hAnsi="宋体" w:eastAsia="宋体" w:cs="宋体"/>
                <w:sz w:val="21"/>
              </w:rPr>
              <w:t>30</w:t>
            </w:r>
          </w:p>
        </w:tc>
        <w:tc>
          <w:tcPr>
            <w:tcW w:w="1399" w:type="dxa"/>
            <w:vAlign w:val="center"/>
          </w:tcPr>
          <w:p w14:paraId="7DE861DB">
            <w:pPr>
              <w:spacing w:line="300" w:lineRule="auto" w:after="0"/>
              <w:jc w:val="left"/>
            </w:pPr>
            <w:r>
              <w:rPr>
                <w:rFonts w:ascii="宋体" w:hAnsi="宋体" w:eastAsia="宋体" w:cs="宋体"/>
                <w:sz w:val="21"/>
              </w:rPr>
              <w:t>1,319</w:t>
            </w:r>
          </w:p>
        </w:tc>
        <w:tc>
          <w:tcPr>
            <w:tcW w:w="1399" w:type="dxa"/>
            <w:vAlign w:val="center"/>
          </w:tcPr>
          <w:p w14:paraId="4B1C1FB3">
            <w:pPr>
              <w:spacing w:line="300" w:lineRule="auto" w:after="0"/>
              <w:jc w:val="center"/>
            </w:pPr>
            <w:r>
              <w:rPr>
                <w:rFonts w:ascii="宋体" w:hAnsi="宋体" w:eastAsia="宋体" w:cs="宋体"/>
                <w:sz w:val="21"/>
              </w:rPr>
              <w:t>792</w:t>
            </w:r>
          </w:p>
        </w:tc>
        <w:tc>
          <w:tcPr>
            <w:tcW w:w="1399" w:type="dxa"/>
            <w:vAlign w:val="center"/>
          </w:tcPr>
          <w:p w14:paraId="1998D7A6">
            <w:pPr>
              <w:spacing w:line="300" w:lineRule="auto" w:after="0"/>
              <w:jc w:val="left"/>
            </w:pPr>
            <w:r>
              <w:rPr>
                <w:rFonts w:ascii="宋体" w:hAnsi="宋体" w:eastAsia="宋体" w:cs="宋体"/>
                <w:sz w:val="21"/>
              </w:rPr>
              <w:t>水平边界框</w:t>
            </w:r>
          </w:p>
        </w:tc>
        <w:tc>
          <w:tcPr>
            <w:tcW w:w="1399" w:type="dxa"/>
            <w:vAlign w:val="center"/>
          </w:tcPr>
          <w:p w14:paraId="35EBA66C">
            <w:pPr>
              <w:spacing w:line="300" w:lineRule="auto" w:after="0"/>
              <w:jc w:val="center"/>
            </w:pPr>
            <w:r>
              <w:rPr>
                <w:rFonts w:ascii="宋体" w:hAnsi="宋体" w:eastAsia="宋体" w:cs="宋体"/>
                <w:sz w:val="21"/>
              </w:rPr>
              <w:t>2008</w:t>
            </w:r>
          </w:p>
        </w:tc>
      </w:tr>
      <w:tr w14:paraId="6F86145F">
        <w:trPr>
          <w:jc w:val="center"/>
        </w:trPr>
        <w:tc>
          <w:tcPr>
            <w:tcW w:w="1399" w:type="dxa"/>
            <w:shd w:val="clear" w:color="auto" w:fill="F2F6FA"/>
            <w:vAlign w:val="center"/>
          </w:tcPr>
          <w:p w14:paraId="3D37F0AD">
            <w:pPr>
              <w:spacing w:line="300" w:lineRule="auto" w:after="0"/>
              <w:jc w:val="left"/>
            </w:pPr>
            <w:r>
              <w:rPr>
                <w:rFonts w:ascii="宋体" w:hAnsi="宋体" w:eastAsia="宋体" w:cs="宋体"/>
                <w:sz w:val="21"/>
              </w:rPr>
              <w:t>SZTAKI-INRIA</w:t>
            </w:r>
          </w:p>
        </w:tc>
        <w:tc>
          <w:tcPr>
            <w:tcW w:w="1399" w:type="dxa"/>
            <w:shd w:val="clear" w:color="auto" w:fill="F2F6FA"/>
            <w:vAlign w:val="center"/>
          </w:tcPr>
          <w:p w14:paraId="50E00FD4">
            <w:pPr>
              <w:spacing w:line="300" w:lineRule="auto" w:after="0"/>
              <w:jc w:val="center"/>
            </w:pPr>
            <w:r>
              <w:rPr>
                <w:rFonts w:ascii="宋体" w:hAnsi="宋体" w:eastAsia="宋体" w:cs="宋体"/>
                <w:sz w:val="21"/>
              </w:rPr>
              <w:t>1</w:t>
            </w:r>
          </w:p>
        </w:tc>
        <w:tc>
          <w:tcPr>
            <w:tcW w:w="1399" w:type="dxa"/>
            <w:shd w:val="clear" w:color="auto" w:fill="F2F6FA"/>
            <w:vAlign w:val="center"/>
          </w:tcPr>
          <w:p w14:paraId="7506330F">
            <w:pPr>
              <w:spacing w:line="300" w:lineRule="auto" w:after="0"/>
              <w:jc w:val="center"/>
            </w:pPr>
            <w:r>
              <w:rPr>
                <w:rFonts w:ascii="宋体" w:hAnsi="宋体" w:eastAsia="宋体" w:cs="宋体"/>
                <w:sz w:val="21"/>
              </w:rPr>
              <w:t>9</w:t>
            </w:r>
          </w:p>
        </w:tc>
        <w:tc>
          <w:tcPr>
            <w:tcW w:w="1399" w:type="dxa"/>
            <w:shd w:val="clear" w:color="auto" w:fill="F2F6FA"/>
            <w:vAlign w:val="center"/>
          </w:tcPr>
          <w:p w14:paraId="60A27C6A">
            <w:pPr>
              <w:spacing w:line="300" w:lineRule="auto" w:after="0"/>
              <w:jc w:val="center"/>
            </w:pPr>
            <w:r>
              <w:rPr>
                <w:rFonts w:ascii="宋体" w:hAnsi="宋体" w:eastAsia="宋体" w:cs="宋体"/>
                <w:sz w:val="21"/>
              </w:rPr>
              <w:t>665</w:t>
            </w:r>
          </w:p>
        </w:tc>
        <w:tc>
          <w:tcPr>
            <w:tcW w:w="1399" w:type="dxa"/>
            <w:shd w:val="clear" w:color="auto" w:fill="F2F6FA"/>
            <w:vAlign w:val="center"/>
          </w:tcPr>
          <w:p w14:paraId="5D4F6D2E">
            <w:pPr>
              <w:spacing w:line="300" w:lineRule="auto" w:after="0"/>
              <w:jc w:val="left"/>
            </w:pPr>
            <w:r>
              <w:rPr>
                <w:rFonts w:ascii="宋体" w:hAnsi="宋体" w:eastAsia="宋体" w:cs="宋体"/>
                <w:sz w:val="21"/>
              </w:rPr>
              <w:t>约 800</w:t>
            </w:r>
          </w:p>
        </w:tc>
        <w:tc>
          <w:tcPr>
            <w:tcW w:w="1399" w:type="dxa"/>
            <w:shd w:val="clear" w:color="auto" w:fill="F2F6FA"/>
            <w:vAlign w:val="center"/>
          </w:tcPr>
          <w:p w14:paraId="153691E7">
            <w:pPr>
              <w:spacing w:line="300" w:lineRule="auto" w:after="0"/>
              <w:jc w:val="left"/>
            </w:pPr>
            <w:r>
              <w:rPr>
                <w:rFonts w:ascii="宋体" w:hAnsi="宋体" w:eastAsia="宋体" w:cs="宋体"/>
                <w:sz w:val="21"/>
              </w:rPr>
              <w:t>旋转边界框</w:t>
            </w:r>
          </w:p>
        </w:tc>
        <w:tc>
          <w:tcPr>
            <w:tcW w:w="1399" w:type="dxa"/>
            <w:shd w:val="clear" w:color="auto" w:fill="F2F6FA"/>
            <w:vAlign w:val="center"/>
          </w:tcPr>
          <w:p w14:paraId="37658EA5">
            <w:pPr>
              <w:spacing w:line="300" w:lineRule="auto" w:after="0"/>
              <w:jc w:val="center"/>
            </w:pPr>
            <w:r>
              <w:rPr>
                <w:rFonts w:ascii="宋体" w:hAnsi="宋体" w:eastAsia="宋体" w:cs="宋体"/>
                <w:sz w:val="21"/>
              </w:rPr>
              <w:t>2012</w:t>
            </w:r>
          </w:p>
        </w:tc>
      </w:tr>
      <w:tr w14:paraId="7FD712B2">
        <w:trPr>
          <w:jc w:val="center"/>
        </w:trPr>
        <w:tc>
          <w:tcPr>
            <w:tcW w:w="1399" w:type="dxa"/>
            <w:vAlign w:val="center"/>
          </w:tcPr>
          <w:p w14:paraId="3D762844">
            <w:pPr>
              <w:spacing w:line="300" w:lineRule="auto" w:after="0"/>
              <w:jc w:val="left"/>
            </w:pPr>
            <w:r>
              <w:rPr>
                <w:rFonts w:ascii="宋体" w:hAnsi="宋体" w:eastAsia="宋体" w:cs="宋体"/>
                <w:sz w:val="21"/>
              </w:rPr>
              <w:t>NWPU VHR-10</w:t>
            </w:r>
          </w:p>
        </w:tc>
        <w:tc>
          <w:tcPr>
            <w:tcW w:w="1399" w:type="dxa"/>
            <w:vAlign w:val="center"/>
          </w:tcPr>
          <w:p w14:paraId="76496568">
            <w:pPr>
              <w:spacing w:line="300" w:lineRule="auto" w:after="0"/>
              <w:jc w:val="center"/>
            </w:pPr>
            <w:r>
              <w:rPr>
                <w:rFonts w:ascii="宋体" w:hAnsi="宋体" w:eastAsia="宋体" w:cs="宋体"/>
                <w:sz w:val="21"/>
              </w:rPr>
              <w:t>10</w:t>
            </w:r>
          </w:p>
        </w:tc>
        <w:tc>
          <w:tcPr>
            <w:tcW w:w="1399" w:type="dxa"/>
            <w:vAlign w:val="center"/>
          </w:tcPr>
          <w:p w14:paraId="47BAB89A">
            <w:pPr>
              <w:spacing w:line="300" w:lineRule="auto" w:after="0"/>
              <w:jc w:val="center"/>
            </w:pPr>
            <w:r>
              <w:rPr>
                <w:rFonts w:ascii="宋体" w:hAnsi="宋体" w:eastAsia="宋体" w:cs="宋体"/>
                <w:sz w:val="21"/>
              </w:rPr>
              <w:t>800</w:t>
            </w:r>
          </w:p>
        </w:tc>
        <w:tc>
          <w:tcPr>
            <w:tcW w:w="1399" w:type="dxa"/>
            <w:vAlign w:val="center"/>
          </w:tcPr>
          <w:p w14:paraId="5571F269">
            <w:pPr>
              <w:spacing w:line="300" w:lineRule="auto" w:after="0"/>
              <w:jc w:val="left"/>
            </w:pPr>
            <w:r>
              <w:rPr>
                <w:rFonts w:ascii="宋体" w:hAnsi="宋体" w:eastAsia="宋体" w:cs="宋体"/>
                <w:sz w:val="21"/>
              </w:rPr>
              <w:t>3,775</w:t>
            </w:r>
          </w:p>
        </w:tc>
        <w:tc>
          <w:tcPr>
            <w:tcW w:w="1399" w:type="dxa"/>
            <w:vAlign w:val="center"/>
          </w:tcPr>
          <w:p w14:paraId="2F4BE97B">
            <w:pPr>
              <w:spacing w:line="300" w:lineRule="auto" w:after="0"/>
              <w:jc w:val="left"/>
            </w:pPr>
            <w:r>
              <w:rPr>
                <w:rFonts w:ascii="宋体" w:hAnsi="宋体" w:eastAsia="宋体" w:cs="宋体"/>
                <w:sz w:val="21"/>
              </w:rPr>
              <w:t>约 1,000</w:t>
            </w:r>
          </w:p>
        </w:tc>
        <w:tc>
          <w:tcPr>
            <w:tcW w:w="1399" w:type="dxa"/>
            <w:vAlign w:val="center"/>
          </w:tcPr>
          <w:p w14:paraId="4E3C36B5">
            <w:pPr>
              <w:spacing w:line="300" w:lineRule="auto" w:after="0"/>
              <w:jc w:val="left"/>
            </w:pPr>
            <w:r>
              <w:rPr>
                <w:rFonts w:ascii="宋体" w:hAnsi="宋体" w:eastAsia="宋体" w:cs="宋体"/>
                <w:sz w:val="21"/>
              </w:rPr>
              <w:t>水平边界框</w:t>
            </w:r>
          </w:p>
        </w:tc>
        <w:tc>
          <w:tcPr>
            <w:tcW w:w="1399" w:type="dxa"/>
            <w:vAlign w:val="center"/>
          </w:tcPr>
          <w:p w14:paraId="3BF8058A">
            <w:pPr>
              <w:spacing w:line="300" w:lineRule="auto" w:after="0"/>
              <w:jc w:val="center"/>
            </w:pPr>
            <w:r>
              <w:rPr>
                <w:rFonts w:ascii="宋体" w:hAnsi="宋体" w:eastAsia="宋体" w:cs="宋体"/>
                <w:sz w:val="21"/>
              </w:rPr>
              <w:t>2014</w:t>
            </w:r>
          </w:p>
        </w:tc>
      </w:tr>
      <w:tr w14:paraId="2BFAD51C">
        <w:trPr>
          <w:jc w:val="center"/>
        </w:trPr>
        <w:tc>
          <w:tcPr>
            <w:tcW w:w="1399" w:type="dxa"/>
            <w:shd w:val="clear" w:color="auto" w:fill="F2F6FA"/>
            <w:vAlign w:val="center"/>
          </w:tcPr>
          <w:p w14:paraId="6F1BBEA4">
            <w:pPr>
              <w:spacing w:line="300" w:lineRule="auto" w:after="0"/>
              <w:jc w:val="left"/>
            </w:pPr>
            <w:r>
              <w:rPr>
                <w:rFonts w:ascii="宋体" w:hAnsi="宋体" w:eastAsia="宋体" w:cs="宋体"/>
                <w:sz w:val="21"/>
              </w:rPr>
              <w:t>VEDAI</w:t>
            </w:r>
          </w:p>
        </w:tc>
        <w:tc>
          <w:tcPr>
            <w:tcW w:w="1399" w:type="dxa"/>
            <w:shd w:val="clear" w:color="auto" w:fill="F2F6FA"/>
            <w:vAlign w:val="center"/>
          </w:tcPr>
          <w:p w14:paraId="6A6449B1">
            <w:pPr>
              <w:spacing w:line="300" w:lineRule="auto" w:after="0"/>
              <w:jc w:val="center"/>
            </w:pPr>
            <w:r>
              <w:rPr>
                <w:rFonts w:ascii="宋体" w:hAnsi="宋体" w:eastAsia="宋体" w:cs="宋体"/>
                <w:sz w:val="21"/>
              </w:rPr>
              <w:t>9</w:t>
            </w:r>
          </w:p>
        </w:tc>
        <w:tc>
          <w:tcPr>
            <w:tcW w:w="1399" w:type="dxa"/>
            <w:shd w:val="clear" w:color="auto" w:fill="F2F6FA"/>
            <w:vAlign w:val="center"/>
          </w:tcPr>
          <w:p w14:paraId="5DAC5E86">
            <w:pPr>
              <w:spacing w:line="300" w:lineRule="auto" w:after="0"/>
              <w:jc w:val="left"/>
            </w:pPr>
            <w:r>
              <w:rPr>
                <w:rFonts w:ascii="宋体" w:hAnsi="宋体" w:eastAsia="宋体" w:cs="宋体"/>
                <w:sz w:val="21"/>
              </w:rPr>
              <w:t>1,210</w:t>
            </w:r>
          </w:p>
        </w:tc>
        <w:tc>
          <w:tcPr>
            <w:tcW w:w="1399" w:type="dxa"/>
            <w:shd w:val="clear" w:color="auto" w:fill="F2F6FA"/>
            <w:vAlign w:val="center"/>
          </w:tcPr>
          <w:p w14:paraId="47748AC8">
            <w:pPr>
              <w:spacing w:line="300" w:lineRule="auto" w:after="0"/>
              <w:jc w:val="left"/>
            </w:pPr>
            <w:r>
              <w:rPr>
                <w:rFonts w:ascii="宋体" w:hAnsi="宋体" w:eastAsia="宋体" w:cs="宋体"/>
                <w:sz w:val="21"/>
              </w:rPr>
              <w:t>3,640</w:t>
            </w:r>
          </w:p>
        </w:tc>
        <w:tc>
          <w:tcPr>
            <w:tcW w:w="1399" w:type="dxa"/>
            <w:shd w:val="clear" w:color="auto" w:fill="F2F6FA"/>
            <w:vAlign w:val="center"/>
          </w:tcPr>
          <w:p w14:paraId="2F1EF1C7">
            <w:pPr>
              <w:spacing w:line="300" w:lineRule="auto" w:after="0"/>
              <w:jc w:val="left"/>
            </w:pPr>
            <w:r>
              <w:rPr>
                <w:rFonts w:ascii="宋体" w:hAnsi="宋体" w:eastAsia="宋体" w:cs="宋体"/>
                <w:sz w:val="21"/>
              </w:rPr>
              <w:t>1,024</w:t>
            </w:r>
          </w:p>
        </w:tc>
        <w:tc>
          <w:tcPr>
            <w:tcW w:w="1399" w:type="dxa"/>
            <w:shd w:val="clear" w:color="auto" w:fill="F2F6FA"/>
            <w:vAlign w:val="center"/>
          </w:tcPr>
          <w:p w14:paraId="324C3DCD">
            <w:pPr>
              <w:spacing w:line="300" w:lineRule="auto" w:after="0"/>
              <w:jc w:val="left"/>
            </w:pPr>
            <w:r>
              <w:rPr>
                <w:rFonts w:ascii="宋体" w:hAnsi="宋体" w:eastAsia="宋体" w:cs="宋体"/>
                <w:sz w:val="21"/>
              </w:rPr>
              <w:t>旋转边界框</w:t>
            </w:r>
          </w:p>
        </w:tc>
        <w:tc>
          <w:tcPr>
            <w:tcW w:w="1399" w:type="dxa"/>
            <w:shd w:val="clear" w:color="auto" w:fill="F2F6FA"/>
            <w:vAlign w:val="center"/>
          </w:tcPr>
          <w:p w14:paraId="29794C15">
            <w:pPr>
              <w:spacing w:line="300" w:lineRule="auto" w:after="0"/>
              <w:jc w:val="center"/>
            </w:pPr>
            <w:r>
              <w:rPr>
                <w:rFonts w:ascii="宋体" w:hAnsi="宋体" w:eastAsia="宋体" w:cs="宋体"/>
                <w:sz w:val="21"/>
              </w:rPr>
              <w:t>2015</w:t>
            </w:r>
          </w:p>
        </w:tc>
      </w:tr>
      <w:tr w14:paraId="06DB0BEB">
        <w:trPr>
          <w:jc w:val="center"/>
        </w:trPr>
        <w:tc>
          <w:tcPr>
            <w:tcW w:w="1399" w:type="dxa"/>
            <w:vAlign w:val="center"/>
          </w:tcPr>
          <w:p w14:paraId="43C1939B">
            <w:pPr>
              <w:spacing w:line="300" w:lineRule="auto" w:after="0"/>
              <w:jc w:val="left"/>
            </w:pPr>
            <w:r>
              <w:rPr>
                <w:rFonts w:ascii="宋体" w:hAnsi="宋体" w:eastAsia="宋体" w:cs="宋体"/>
                <w:sz w:val="21"/>
              </w:rPr>
              <w:t>UCAS-AOD</w:t>
            </w:r>
          </w:p>
        </w:tc>
        <w:tc>
          <w:tcPr>
            <w:tcW w:w="1399" w:type="dxa"/>
            <w:vAlign w:val="center"/>
          </w:tcPr>
          <w:p w14:paraId="0A831E91">
            <w:pPr>
              <w:spacing w:line="300" w:lineRule="auto" w:after="0"/>
              <w:jc w:val="center"/>
            </w:pPr>
            <w:r>
              <w:rPr>
                <w:rFonts w:ascii="宋体" w:hAnsi="宋体" w:eastAsia="宋体" w:cs="宋体"/>
                <w:sz w:val="21"/>
              </w:rPr>
              <w:t>2</w:t>
            </w:r>
          </w:p>
        </w:tc>
        <w:tc>
          <w:tcPr>
            <w:tcW w:w="1399" w:type="dxa"/>
            <w:vAlign w:val="center"/>
          </w:tcPr>
          <w:p w14:paraId="02E5CEAE">
            <w:pPr>
              <w:spacing w:line="300" w:lineRule="auto" w:after="0"/>
              <w:jc w:val="center"/>
            </w:pPr>
            <w:r>
              <w:rPr>
                <w:rFonts w:ascii="宋体" w:hAnsi="宋体" w:eastAsia="宋体" w:cs="宋体"/>
                <w:sz w:val="21"/>
              </w:rPr>
              <w:t>910</w:t>
            </w:r>
          </w:p>
        </w:tc>
        <w:tc>
          <w:tcPr>
            <w:tcW w:w="1399" w:type="dxa"/>
            <w:vAlign w:val="center"/>
          </w:tcPr>
          <w:p w14:paraId="231775D0">
            <w:pPr>
              <w:spacing w:line="300" w:lineRule="auto" w:after="0"/>
              <w:jc w:val="left"/>
            </w:pPr>
            <w:r>
              <w:rPr>
                <w:rFonts w:ascii="宋体" w:hAnsi="宋体" w:eastAsia="宋体" w:cs="宋体"/>
                <w:sz w:val="21"/>
              </w:rPr>
              <w:t>6,029</w:t>
            </w:r>
          </w:p>
        </w:tc>
        <w:tc>
          <w:tcPr>
            <w:tcW w:w="1399" w:type="dxa"/>
            <w:vAlign w:val="center"/>
          </w:tcPr>
          <w:p w14:paraId="58AE9847">
            <w:pPr>
              <w:spacing w:line="300" w:lineRule="auto" w:after="0"/>
              <w:jc w:val="left"/>
            </w:pPr>
            <w:r>
              <w:rPr>
                <w:rFonts w:ascii="宋体" w:hAnsi="宋体" w:eastAsia="宋体" w:cs="宋体"/>
                <w:sz w:val="21"/>
              </w:rPr>
              <w:t>1,280</w:t>
            </w:r>
          </w:p>
        </w:tc>
        <w:tc>
          <w:tcPr>
            <w:tcW w:w="1399" w:type="dxa"/>
            <w:vAlign w:val="center"/>
          </w:tcPr>
          <w:p w14:paraId="4B30C2C7">
            <w:pPr>
              <w:spacing w:line="300" w:lineRule="auto" w:after="0"/>
              <w:jc w:val="left"/>
            </w:pPr>
            <w:r>
              <w:rPr>
                <w:rFonts w:ascii="宋体" w:hAnsi="宋体" w:eastAsia="宋体" w:cs="宋体"/>
                <w:sz w:val="21"/>
              </w:rPr>
              <w:t>水平边界框</w:t>
            </w:r>
          </w:p>
        </w:tc>
        <w:tc>
          <w:tcPr>
            <w:tcW w:w="1399" w:type="dxa"/>
            <w:vAlign w:val="center"/>
          </w:tcPr>
          <w:p w14:paraId="4A4475F0">
            <w:pPr>
              <w:spacing w:line="300" w:lineRule="auto" w:after="0"/>
              <w:jc w:val="center"/>
            </w:pPr>
            <w:r>
              <w:rPr>
                <w:rFonts w:ascii="宋体" w:hAnsi="宋体" w:eastAsia="宋体" w:cs="宋体"/>
                <w:sz w:val="21"/>
              </w:rPr>
              <w:t>2015</w:t>
            </w:r>
          </w:p>
        </w:tc>
      </w:tr>
      <w:tr w14:paraId="7CB37CE9">
        <w:trPr>
          <w:jc w:val="center"/>
        </w:trPr>
        <w:tc>
          <w:tcPr>
            <w:tcW w:w="1399" w:type="dxa"/>
            <w:shd w:val="clear" w:color="auto" w:fill="F2F6FA"/>
            <w:vAlign w:val="center"/>
          </w:tcPr>
          <w:p w14:paraId="56064497">
            <w:pPr>
              <w:spacing w:line="300" w:lineRule="auto" w:after="0"/>
              <w:jc w:val="left"/>
            </w:pPr>
            <w:r>
              <w:rPr>
                <w:rFonts w:ascii="宋体" w:hAnsi="宋体" w:eastAsia="宋体" w:cs="宋体"/>
                <w:sz w:val="21"/>
              </w:rPr>
              <w:t>DLR 3K Vehicle</w:t>
            </w:r>
          </w:p>
        </w:tc>
        <w:tc>
          <w:tcPr>
            <w:tcW w:w="1399" w:type="dxa"/>
            <w:shd w:val="clear" w:color="auto" w:fill="F2F6FA"/>
            <w:vAlign w:val="center"/>
          </w:tcPr>
          <w:p w14:paraId="2322449D">
            <w:pPr>
              <w:spacing w:line="300" w:lineRule="auto" w:after="0"/>
              <w:jc w:val="center"/>
            </w:pPr>
            <w:r>
              <w:rPr>
                <w:rFonts w:ascii="宋体" w:hAnsi="宋体" w:eastAsia="宋体" w:cs="宋体"/>
                <w:sz w:val="21"/>
              </w:rPr>
              <w:t>2</w:t>
            </w:r>
          </w:p>
        </w:tc>
        <w:tc>
          <w:tcPr>
            <w:tcW w:w="1399" w:type="dxa"/>
            <w:shd w:val="clear" w:color="auto" w:fill="F2F6FA"/>
            <w:vAlign w:val="center"/>
          </w:tcPr>
          <w:p w14:paraId="09781202">
            <w:pPr>
              <w:spacing w:line="300" w:lineRule="auto" w:after="0"/>
              <w:jc w:val="center"/>
            </w:pPr>
            <w:r>
              <w:rPr>
                <w:rFonts w:ascii="宋体" w:hAnsi="宋体" w:eastAsia="宋体" w:cs="宋体"/>
                <w:sz w:val="21"/>
              </w:rPr>
              <w:t>20</w:t>
            </w:r>
          </w:p>
        </w:tc>
        <w:tc>
          <w:tcPr>
            <w:tcW w:w="1399" w:type="dxa"/>
            <w:shd w:val="clear" w:color="auto" w:fill="F2F6FA"/>
            <w:vAlign w:val="center"/>
          </w:tcPr>
          <w:p w14:paraId="18D2FC39">
            <w:pPr>
              <w:spacing w:line="300" w:lineRule="auto" w:after="0"/>
              <w:jc w:val="left"/>
            </w:pPr>
            <w:r>
              <w:rPr>
                <w:rFonts w:ascii="宋体" w:hAnsi="宋体" w:eastAsia="宋体" w:cs="宋体"/>
                <w:sz w:val="21"/>
              </w:rPr>
              <w:t>14,235</w:t>
            </w:r>
          </w:p>
        </w:tc>
        <w:tc>
          <w:tcPr>
            <w:tcW w:w="1399" w:type="dxa"/>
            <w:shd w:val="clear" w:color="auto" w:fill="F2F6FA"/>
            <w:vAlign w:val="center"/>
          </w:tcPr>
          <w:p w14:paraId="11282EAC">
            <w:pPr>
              <w:spacing w:line="300" w:lineRule="auto" w:after="0"/>
              <w:jc w:val="left"/>
            </w:pPr>
            <w:r>
              <w:rPr>
                <w:rFonts w:ascii="宋体" w:hAnsi="宋体" w:eastAsia="宋体" w:cs="宋体"/>
                <w:sz w:val="21"/>
              </w:rPr>
              <w:t>5,616</w:t>
            </w:r>
          </w:p>
        </w:tc>
        <w:tc>
          <w:tcPr>
            <w:tcW w:w="1399" w:type="dxa"/>
            <w:shd w:val="clear" w:color="auto" w:fill="F2F6FA"/>
            <w:vAlign w:val="center"/>
          </w:tcPr>
          <w:p w14:paraId="37FD1F2E">
            <w:pPr>
              <w:spacing w:line="300" w:lineRule="auto" w:after="0"/>
              <w:jc w:val="left"/>
            </w:pPr>
            <w:r>
              <w:rPr>
                <w:rFonts w:ascii="宋体" w:hAnsi="宋体" w:eastAsia="宋体" w:cs="宋体"/>
                <w:sz w:val="21"/>
              </w:rPr>
              <w:t>旋转边界框</w:t>
            </w:r>
          </w:p>
        </w:tc>
        <w:tc>
          <w:tcPr>
            <w:tcW w:w="1399" w:type="dxa"/>
            <w:shd w:val="clear" w:color="auto" w:fill="F2F6FA"/>
            <w:vAlign w:val="center"/>
          </w:tcPr>
          <w:p w14:paraId="7225D6E7">
            <w:pPr>
              <w:spacing w:line="300" w:lineRule="auto" w:after="0"/>
              <w:jc w:val="center"/>
            </w:pPr>
            <w:r>
              <w:rPr>
                <w:rFonts w:ascii="宋体" w:hAnsi="宋体" w:eastAsia="宋体" w:cs="宋体"/>
                <w:sz w:val="21"/>
              </w:rPr>
              <w:t>2015</w:t>
            </w:r>
          </w:p>
        </w:tc>
      </w:tr>
      <w:tr w14:paraId="1EFF828D">
        <w:trPr>
          <w:jc w:val="center"/>
        </w:trPr>
        <w:tc>
          <w:tcPr>
            <w:tcW w:w="1399" w:type="dxa"/>
            <w:vAlign w:val="center"/>
          </w:tcPr>
          <w:p w14:paraId="5EDBF626">
            <w:pPr>
              <w:spacing w:line="300" w:lineRule="auto" w:after="0"/>
              <w:jc w:val="left"/>
            </w:pPr>
            <w:r>
              <w:rPr>
                <w:rFonts w:ascii="宋体" w:hAnsi="宋体" w:eastAsia="宋体" w:cs="宋体"/>
                <w:sz w:val="21"/>
              </w:rPr>
              <w:t>HRSC2016</w:t>
            </w:r>
          </w:p>
        </w:tc>
        <w:tc>
          <w:tcPr>
            <w:tcW w:w="1399" w:type="dxa"/>
            <w:vAlign w:val="center"/>
          </w:tcPr>
          <w:p w14:paraId="1C7CA16D">
            <w:pPr>
              <w:spacing w:line="300" w:lineRule="auto" w:after="0"/>
              <w:jc w:val="center"/>
            </w:pPr>
            <w:r>
              <w:rPr>
                <w:rFonts w:ascii="宋体" w:hAnsi="宋体" w:eastAsia="宋体" w:cs="宋体"/>
                <w:sz w:val="21"/>
              </w:rPr>
              <w:t>1</w:t>
            </w:r>
          </w:p>
        </w:tc>
        <w:tc>
          <w:tcPr>
            <w:tcW w:w="1399" w:type="dxa"/>
            <w:vAlign w:val="center"/>
          </w:tcPr>
          <w:p w14:paraId="3ECFCEE3">
            <w:pPr>
              <w:spacing w:line="300" w:lineRule="auto" w:after="0"/>
              <w:jc w:val="left"/>
            </w:pPr>
            <w:r>
              <w:rPr>
                <w:rFonts w:ascii="宋体" w:hAnsi="宋体" w:eastAsia="宋体" w:cs="宋体"/>
                <w:sz w:val="21"/>
              </w:rPr>
              <w:t>1,070</w:t>
            </w:r>
          </w:p>
        </w:tc>
        <w:tc>
          <w:tcPr>
            <w:tcW w:w="1399" w:type="dxa"/>
            <w:vAlign w:val="center"/>
          </w:tcPr>
          <w:p w14:paraId="319AB972">
            <w:pPr>
              <w:spacing w:line="300" w:lineRule="auto" w:after="0"/>
              <w:jc w:val="left"/>
            </w:pPr>
            <w:r>
              <w:rPr>
                <w:rFonts w:ascii="宋体" w:hAnsi="宋体" w:eastAsia="宋体" w:cs="宋体"/>
                <w:sz w:val="21"/>
              </w:rPr>
              <w:t>2,976</w:t>
            </w:r>
          </w:p>
        </w:tc>
        <w:tc>
          <w:tcPr>
            <w:tcW w:w="1399" w:type="dxa"/>
            <w:vAlign w:val="center"/>
          </w:tcPr>
          <w:p w14:paraId="5C187F8C">
            <w:pPr>
              <w:spacing w:line="300" w:lineRule="auto" w:after="0"/>
              <w:jc w:val="left"/>
            </w:pPr>
            <w:r>
              <w:rPr>
                <w:rFonts w:ascii="宋体" w:hAnsi="宋体" w:eastAsia="宋体" w:cs="宋体"/>
                <w:sz w:val="21"/>
              </w:rPr>
              <w:t>约 1,000</w:t>
            </w:r>
          </w:p>
        </w:tc>
        <w:tc>
          <w:tcPr>
            <w:tcW w:w="1399" w:type="dxa"/>
            <w:vAlign w:val="center"/>
          </w:tcPr>
          <w:p w14:paraId="44DF2899">
            <w:pPr>
              <w:spacing w:line="300" w:lineRule="auto" w:after="0"/>
              <w:jc w:val="left"/>
            </w:pPr>
            <w:r>
              <w:rPr>
                <w:rFonts w:ascii="宋体" w:hAnsi="宋体" w:eastAsia="宋体" w:cs="宋体"/>
                <w:sz w:val="21"/>
              </w:rPr>
              <w:t>旋转边界框</w:t>
            </w:r>
          </w:p>
        </w:tc>
        <w:tc>
          <w:tcPr>
            <w:tcW w:w="1399" w:type="dxa"/>
            <w:vAlign w:val="center"/>
          </w:tcPr>
          <w:p w14:paraId="09CCBBFC">
            <w:pPr>
              <w:spacing w:line="300" w:lineRule="auto" w:after="0"/>
              <w:jc w:val="center"/>
            </w:pPr>
            <w:r>
              <w:rPr>
                <w:rFonts w:ascii="宋体" w:hAnsi="宋体" w:eastAsia="宋体" w:cs="宋体"/>
                <w:sz w:val="21"/>
              </w:rPr>
              <w:t>2016</w:t>
            </w:r>
          </w:p>
        </w:tc>
      </w:tr>
      <w:tr w14:paraId="49B1E4C0">
        <w:trPr>
          <w:jc w:val="center"/>
        </w:trPr>
        <w:tc>
          <w:tcPr>
            <w:tcW w:w="1399" w:type="dxa"/>
            <w:shd w:val="clear" w:color="auto" w:fill="F2F6FA"/>
            <w:vAlign w:val="center"/>
          </w:tcPr>
          <w:p w14:paraId="5B3F8ED7">
            <w:pPr>
              <w:spacing w:line="300" w:lineRule="auto" w:after="0"/>
              <w:jc w:val="left"/>
            </w:pPr>
            <w:r>
              <w:rPr>
                <w:rFonts w:ascii="宋体" w:hAnsi="宋体" w:eastAsia="宋体" w:cs="宋体"/>
                <w:sz w:val="21"/>
              </w:rPr>
              <w:t>RSOD</w:t>
            </w:r>
          </w:p>
        </w:tc>
        <w:tc>
          <w:tcPr>
            <w:tcW w:w="1399" w:type="dxa"/>
            <w:shd w:val="clear" w:color="auto" w:fill="F2F6FA"/>
            <w:vAlign w:val="center"/>
          </w:tcPr>
          <w:p w14:paraId="12C63F0D">
            <w:pPr>
              <w:spacing w:line="300" w:lineRule="auto" w:after="0"/>
              <w:jc w:val="center"/>
            </w:pPr>
            <w:r>
              <w:rPr>
                <w:rFonts w:ascii="宋体" w:hAnsi="宋体" w:eastAsia="宋体" w:cs="宋体"/>
                <w:sz w:val="21"/>
              </w:rPr>
              <w:t>4</w:t>
            </w:r>
          </w:p>
        </w:tc>
        <w:tc>
          <w:tcPr>
            <w:tcW w:w="1399" w:type="dxa"/>
            <w:shd w:val="clear" w:color="auto" w:fill="F2F6FA"/>
            <w:vAlign w:val="center"/>
          </w:tcPr>
          <w:p w14:paraId="1EE5440F">
            <w:pPr>
              <w:spacing w:line="300" w:lineRule="auto" w:after="0"/>
              <w:jc w:val="center"/>
            </w:pPr>
            <w:r>
              <w:rPr>
                <w:rFonts w:ascii="宋体" w:hAnsi="宋体" w:eastAsia="宋体" w:cs="宋体"/>
                <w:sz w:val="21"/>
              </w:rPr>
              <w:t>976</w:t>
            </w:r>
          </w:p>
        </w:tc>
        <w:tc>
          <w:tcPr>
            <w:tcW w:w="1399" w:type="dxa"/>
            <w:shd w:val="clear" w:color="auto" w:fill="F2F6FA"/>
            <w:vAlign w:val="center"/>
          </w:tcPr>
          <w:p w14:paraId="12688C61">
            <w:pPr>
              <w:spacing w:line="300" w:lineRule="auto" w:after="0"/>
              <w:jc w:val="left"/>
            </w:pPr>
            <w:r>
              <w:rPr>
                <w:rFonts w:ascii="宋体" w:hAnsi="宋体" w:eastAsia="宋体" w:cs="宋体"/>
                <w:sz w:val="21"/>
              </w:rPr>
              <w:t>6,950</w:t>
            </w:r>
          </w:p>
        </w:tc>
        <w:tc>
          <w:tcPr>
            <w:tcW w:w="1399" w:type="dxa"/>
            <w:shd w:val="clear" w:color="auto" w:fill="F2F6FA"/>
            <w:vAlign w:val="center"/>
          </w:tcPr>
          <w:p w14:paraId="75D9E2CE">
            <w:pPr>
              <w:spacing w:line="300" w:lineRule="auto" w:after="0"/>
              <w:jc w:val="left"/>
            </w:pPr>
            <w:r>
              <w:rPr>
                <w:rFonts w:ascii="宋体" w:hAnsi="宋体" w:eastAsia="宋体" w:cs="宋体"/>
                <w:sz w:val="21"/>
              </w:rPr>
              <w:t>约 1,000</w:t>
            </w:r>
          </w:p>
        </w:tc>
        <w:tc>
          <w:tcPr>
            <w:tcW w:w="1399" w:type="dxa"/>
            <w:shd w:val="clear" w:color="auto" w:fill="F2F6FA"/>
            <w:vAlign w:val="center"/>
          </w:tcPr>
          <w:p w14:paraId="37674D7C">
            <w:pPr>
              <w:spacing w:line="300" w:lineRule="auto" w:after="0"/>
              <w:jc w:val="left"/>
            </w:pPr>
            <w:r>
              <w:rPr>
                <w:rFonts w:ascii="宋体" w:hAnsi="宋体" w:eastAsia="宋体" w:cs="宋体"/>
                <w:sz w:val="21"/>
              </w:rPr>
              <w:t>水平边界框</w:t>
            </w:r>
          </w:p>
        </w:tc>
        <w:tc>
          <w:tcPr>
            <w:tcW w:w="1399" w:type="dxa"/>
            <w:shd w:val="clear" w:color="auto" w:fill="F2F6FA"/>
            <w:vAlign w:val="center"/>
          </w:tcPr>
          <w:p w14:paraId="47728D97">
            <w:pPr>
              <w:spacing w:line="300" w:lineRule="auto" w:after="0"/>
              <w:jc w:val="center"/>
            </w:pPr>
            <w:r>
              <w:rPr>
                <w:rFonts w:ascii="宋体" w:hAnsi="宋体" w:eastAsia="宋体" w:cs="宋体"/>
                <w:sz w:val="21"/>
              </w:rPr>
              <w:t>2017</w:t>
            </w:r>
          </w:p>
        </w:tc>
      </w:tr>
      <w:tr w14:paraId="53B65F9B">
        <w:trPr>
          <w:jc w:val="center"/>
        </w:trPr>
        <w:tc>
          <w:tcPr>
            <w:tcW w:w="1399" w:type="dxa"/>
            <w:vAlign w:val="center"/>
          </w:tcPr>
          <w:p w14:paraId="53D05EC1">
            <w:pPr>
              <w:spacing w:line="300" w:lineRule="auto" w:after="0"/>
              <w:jc w:val="left"/>
            </w:pPr>
            <w:r>
              <w:rPr>
                <w:rFonts w:ascii="宋体" w:hAnsi="宋体" w:eastAsia="宋体" w:cs="宋体"/>
                <w:sz w:val="21"/>
              </w:rPr>
              <w:t>DOTA</w:t>
            </w:r>
          </w:p>
        </w:tc>
        <w:tc>
          <w:tcPr>
            <w:tcW w:w="1399" w:type="dxa"/>
            <w:vAlign w:val="center"/>
          </w:tcPr>
          <w:p w14:paraId="015230CF">
            <w:pPr>
              <w:spacing w:line="300" w:lineRule="auto" w:after="0"/>
              <w:jc w:val="center"/>
            </w:pPr>
            <w:r>
              <w:rPr>
                <w:rFonts w:ascii="宋体" w:hAnsi="宋体" w:eastAsia="宋体" w:cs="宋体"/>
                <w:sz w:val="21"/>
              </w:rPr>
              <w:t>15</w:t>
            </w:r>
          </w:p>
        </w:tc>
        <w:tc>
          <w:tcPr>
            <w:tcW w:w="1399" w:type="dxa"/>
            <w:vAlign w:val="center"/>
          </w:tcPr>
          <w:p w14:paraId="51C8F0D6">
            <w:pPr>
              <w:spacing w:line="300" w:lineRule="auto" w:after="0"/>
              <w:jc w:val="left"/>
            </w:pPr>
            <w:r>
              <w:rPr>
                <w:rFonts w:ascii="宋体" w:hAnsi="宋体" w:eastAsia="宋体" w:cs="宋体"/>
                <w:sz w:val="21"/>
              </w:rPr>
              <w:t>2,806</w:t>
            </w:r>
          </w:p>
        </w:tc>
        <w:tc>
          <w:tcPr>
            <w:tcW w:w="1399" w:type="dxa"/>
            <w:vAlign w:val="center"/>
          </w:tcPr>
          <w:p w14:paraId="5D5C1315">
            <w:pPr>
              <w:spacing w:line="300" w:lineRule="auto" w:after="0"/>
              <w:jc w:val="left"/>
            </w:pPr>
            <w:r>
              <w:rPr>
                <w:rFonts w:ascii="宋体" w:hAnsi="宋体" w:eastAsia="宋体" w:cs="宋体"/>
                <w:sz w:val="21"/>
              </w:rPr>
              <w:t>188,282</w:t>
            </w:r>
          </w:p>
        </w:tc>
        <w:tc>
          <w:tcPr>
            <w:tcW w:w="1399" w:type="dxa"/>
            <w:vAlign w:val="center"/>
          </w:tcPr>
          <w:p w14:paraId="18DB9C5E">
            <w:pPr>
              <w:spacing w:line="300" w:lineRule="auto" w:after="0"/>
              <w:jc w:val="left"/>
            </w:pPr>
            <w:r>
              <w:rPr>
                <w:rFonts w:ascii="宋体" w:hAnsi="宋体" w:eastAsia="宋体" w:cs="宋体"/>
                <w:sz w:val="21"/>
              </w:rPr>
              <w:t>800–4,000</w:t>
            </w:r>
          </w:p>
        </w:tc>
        <w:tc>
          <w:tcPr>
            <w:tcW w:w="1399" w:type="dxa"/>
            <w:vAlign w:val="center"/>
          </w:tcPr>
          <w:p w14:paraId="1182A57E">
            <w:pPr>
              <w:spacing w:line="300" w:lineRule="auto" w:after="0"/>
              <w:jc w:val="left"/>
            </w:pPr>
            <w:r>
              <w:rPr>
                <w:rFonts w:ascii="宋体" w:hAnsi="宋体" w:eastAsia="宋体" w:cs="宋体"/>
                <w:sz w:val="21"/>
              </w:rPr>
              <w:t>旋转边界框</w:t>
            </w:r>
          </w:p>
        </w:tc>
        <w:tc>
          <w:tcPr>
            <w:tcW w:w="1399" w:type="dxa"/>
            <w:vAlign w:val="center"/>
          </w:tcPr>
          <w:p w14:paraId="468E5D30">
            <w:pPr>
              <w:spacing w:line="300" w:lineRule="auto" w:after="0"/>
              <w:jc w:val="center"/>
            </w:pPr>
            <w:r>
              <w:rPr>
                <w:rFonts w:ascii="宋体" w:hAnsi="宋体" w:eastAsia="宋体" w:cs="宋体"/>
                <w:sz w:val="21"/>
              </w:rPr>
              <w:t>2017</w:t>
            </w:r>
          </w:p>
        </w:tc>
      </w:tr>
      <w:tr w14:paraId="0446F9F1">
        <w:trPr>
          <w:jc w:val="center"/>
        </w:trPr>
        <w:tc>
          <w:tcPr>
            <w:tcW w:w="1399" w:type="dxa"/>
            <w:shd w:val="clear" w:color="auto" w:fill="F2F6FA"/>
            <w:vAlign w:val="center"/>
          </w:tcPr>
          <w:p w14:paraId="13DC6FFB">
            <w:pPr>
              <w:spacing w:line="300" w:lineRule="auto" w:after="0"/>
              <w:jc w:val="left"/>
            </w:pPr>
            <w:r>
              <w:rPr>
                <w:rFonts w:ascii="宋体" w:hAnsi="宋体" w:eastAsia="宋体" w:cs="宋体"/>
                <w:b/>
                <w:sz w:val="21"/>
              </w:rPr>
              <w:t>DIOR</w:t>
            </w:r>
          </w:p>
        </w:tc>
        <w:tc>
          <w:tcPr>
            <w:tcW w:w="1399" w:type="dxa"/>
            <w:shd w:val="clear" w:color="auto" w:fill="F2F6FA"/>
            <w:vAlign w:val="center"/>
          </w:tcPr>
          <w:p w14:paraId="7B99A6C8">
            <w:pPr>
              <w:spacing w:line="300" w:lineRule="auto" w:after="0"/>
              <w:jc w:val="left"/>
            </w:pPr>
            <w:r>
              <w:rPr>
                <w:rFonts w:ascii="宋体" w:hAnsi="宋体" w:eastAsia="宋体" w:cs="宋体"/>
                <w:b/>
                <w:sz w:val="21"/>
              </w:rPr>
              <w:t>20</w:t>
            </w:r>
          </w:p>
        </w:tc>
        <w:tc>
          <w:tcPr>
            <w:tcW w:w="1399" w:type="dxa"/>
            <w:shd w:val="clear" w:color="auto" w:fill="F2F6FA"/>
            <w:vAlign w:val="center"/>
          </w:tcPr>
          <w:p w14:paraId="3B964BBC">
            <w:pPr>
              <w:spacing w:line="300" w:lineRule="auto" w:after="0"/>
              <w:jc w:val="left"/>
            </w:pPr>
            <w:r>
              <w:rPr>
                <w:rFonts w:ascii="宋体" w:hAnsi="宋体" w:eastAsia="宋体" w:cs="宋体"/>
                <w:b/>
                <w:sz w:val="21"/>
              </w:rPr>
              <w:t>23,463</w:t>
            </w:r>
          </w:p>
        </w:tc>
        <w:tc>
          <w:tcPr>
            <w:tcW w:w="1399" w:type="dxa"/>
            <w:shd w:val="clear" w:color="auto" w:fill="F2F6FA"/>
            <w:vAlign w:val="center"/>
          </w:tcPr>
          <w:p w14:paraId="3C6F99FE">
            <w:pPr>
              <w:spacing w:line="300" w:lineRule="auto" w:after="0"/>
              <w:jc w:val="left"/>
            </w:pPr>
            <w:r>
              <w:rPr>
                <w:rFonts w:ascii="宋体" w:hAnsi="宋体" w:eastAsia="宋体" w:cs="宋体"/>
                <w:b/>
                <w:sz w:val="21"/>
              </w:rPr>
              <w:t>192,472</w:t>
            </w:r>
          </w:p>
        </w:tc>
        <w:tc>
          <w:tcPr>
            <w:tcW w:w="1399" w:type="dxa"/>
            <w:shd w:val="clear" w:color="auto" w:fill="F2F6FA"/>
            <w:vAlign w:val="center"/>
          </w:tcPr>
          <w:p w14:paraId="5A922809">
            <w:pPr>
              <w:spacing w:line="300" w:lineRule="auto" w:after="0"/>
              <w:jc w:val="left"/>
            </w:pPr>
            <w:r>
              <w:rPr>
                <w:rFonts w:ascii="宋体" w:hAnsi="宋体" w:eastAsia="宋体" w:cs="宋体"/>
                <w:b/>
                <w:sz w:val="21"/>
              </w:rPr>
              <w:t>800</w:t>
            </w:r>
          </w:p>
        </w:tc>
        <w:tc>
          <w:tcPr>
            <w:tcW w:w="1399" w:type="dxa"/>
            <w:shd w:val="clear" w:color="auto" w:fill="F2F6FA"/>
            <w:vAlign w:val="center"/>
          </w:tcPr>
          <w:p w14:paraId="18B98559">
            <w:pPr>
              <w:spacing w:line="300" w:lineRule="auto" w:after="0"/>
              <w:jc w:val="left"/>
            </w:pPr>
            <w:r>
              <w:rPr>
                <w:rFonts w:ascii="宋体" w:hAnsi="宋体" w:eastAsia="宋体" w:cs="宋体"/>
                <w:b/>
                <w:sz w:val="21"/>
              </w:rPr>
              <w:t>水平边界框</w:t>
            </w:r>
          </w:p>
        </w:tc>
        <w:tc>
          <w:tcPr>
            <w:tcW w:w="1399" w:type="dxa"/>
            <w:shd w:val="clear" w:color="auto" w:fill="F2F6FA"/>
            <w:vAlign w:val="center"/>
          </w:tcPr>
          <w:p w14:paraId="47178E57">
            <w:pPr>
              <w:spacing w:line="300" w:lineRule="auto" w:after="0"/>
              <w:jc w:val="left"/>
            </w:pPr>
            <w:r>
              <w:rPr>
                <w:rFonts w:ascii="宋体" w:hAnsi="宋体" w:eastAsia="宋体" w:cs="宋体"/>
                <w:b/>
                <w:sz w:val="21"/>
              </w:rPr>
              <w:t>2018</w:t>
            </w:r>
          </w:p>
        </w:tc>
      </w:tr>
    </w:tbl>
    <w:p w14:paraId="77DE6CA4">
      <w:pPr>
        <w:spacing w:after="120" w:line="360" w:lineRule="auto"/>
        <w:ind w:firstLine="560"/>
      </w:pPr>
    </w:p>
    <w:p w14:paraId="00B5EC37">
      <w:pPr>
        <w:spacing w:line="360" w:lineRule="auto" w:after="120"/>
        <w:ind w:firstLine="560"/>
        <w:jc w:val="center"/>
      </w:pPr>
      <w:bookmarkStart w:id="5" w:name="ref_表1_2"/>
      <w:r>
        <w:rPr>
          <w:rFonts w:ascii="宋体" w:hAnsi="宋体" w:eastAsia="宋体" w:cs="宋体"/>
          <w:b/>
          <w:sz w:val="28"/>
        </w:rPr>
        <w:t>表 1-2 DIOR 与公开光学遥感目标检测数据集的比较。数据来源：Li et al., *Object Detection in Optical Remote Sensing Images: A Survey and A New Benchmark*, Table 1。</w:t>
      </w:r>
      <w:bookmarkEnd w:id="5"/>
    </w:p>
    <w:p w14:paraId="723C72D6">
      <w:pPr>
        <w:spacing w:after="120" w:line="360" w:lineRule="auto"/>
        <w:jc w:val="center"/>
      </w:pPr>
      <w:r>
        <w:rPr>
          <w:rFonts w:ascii="宋体" w:hAnsi="宋体" w:eastAsia="宋体" w:cs="宋体"/>
          <w:sz w:val="28"/>
        </w:rPr>
        <w:drawing>
          <wp:inline distT="0" distB="0" distL="114300" distR="114300">
            <wp:extent cx="5715000" cy="4194175"/>
            <wp:effectExtent l="0" t="0" r="0" b="222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5715000" cy="4194495"/>
                    </a:xfrm>
                    <a:prstGeom prst="rect">
                      <a:avLst/>
                    </a:prstGeom>
                  </pic:spPr>
                </pic:pic>
              </a:graphicData>
            </a:graphic>
          </wp:inline>
        </w:drawing>
      </w:r>
    </w:p>
    <w:p w14:paraId="3F82EC23">
      <w:pPr>
        <w:spacing w:after="120" w:line="360" w:lineRule="auto"/>
        <w:ind w:firstLine="560"/>
        <w:rPr>
          <w:rFonts w:ascii="宋体" w:hAnsi="宋体" w:eastAsia="宋体" w:cs="宋体"/>
          <w:sz w:val="28"/>
        </w:rPr>
      </w:pPr>
      <w:bookmarkStart w:id="6" w:name="ref_图1_4"/>
      <w:r>
        <w:rPr>
          <w:rFonts w:ascii="宋体" w:hAnsi="宋体" w:eastAsia="宋体" w:cs="宋体"/>
          <w:b/>
          <w:sz w:val="28"/>
        </w:rPr>
        <w:t>图 1-4 DIOR 的类别样本及水平框标注。各类别均包含来自不同区域和成像条件的样本；绿色矩形为水平外接框。图</w:t>
      </w:r>
      <w:r>
        <w:rPr>
          <w:rFonts w:ascii="宋体" w:hAnsi="宋体" w:eastAsia="宋体" w:cs="宋体"/>
          <w:sz w:val="28"/>
        </w:rPr>
        <w:t>中可直观看到机场、港口、桥梁、船舶和车辆等类别在尺度、背景与形态上的差异。来源：Li et al., Fig. 2。</w:t>
      </w:r>
      <w:bookmarkEnd w:id="6"/>
    </w:p>
    <w:p w14:paraId="0D5EE23B">
      <w:pPr>
        <w:spacing w:after="120" w:line="360" w:lineRule="auto"/>
        <w:ind w:firstLine="560"/>
        <w:rPr>
          <w:rFonts w:ascii="宋体" w:hAnsi="宋体" w:eastAsia="宋体" w:cs="宋体"/>
          <w:sz w:val="28"/>
        </w:rPr>
      </w:pPr>
      <w:r>
        <w:rPr>
          <w:rFonts w:ascii="宋体" w:hAnsi="宋体" w:eastAsia="宋体" w:cs="宋体"/>
          <w:sz w:val="28"/>
        </w:rPr>
        <w:t>在成像特性上，DIOR 特意保留了丰富的场景变化：不同影像的季节、天气、光照条件、成像质量、背景复杂度均存在明显差异，没有刻意筛选理想清晰场景。这种设定能够更真实地模拟实际遥感作业的复杂环境，有效验证模型的泛化能力，避免模型在单一理想场景下过拟合。同时统一的 800×800 像素尺寸降低了入门阶段的预处理难度，无需处理大幅影像的切片拼接问题，可以聚焦于检测模型本身的原理与实现。如</w:t>
      </w:r>
      <w:r>
        <w:rPr>
          <w:rFonts w:ascii="宋体" w:hAnsi="宋体" w:eastAsia="宋体" w:cs="宋体"/>
          <w:sz w:val="28"/>
        </w:rPr>
        <w:fldChar w:fldCharType="begin"/>
      </w:r>
      <w:r>
        <w:rPr>
          <w:rFonts w:ascii="宋体" w:hAnsi="宋体" w:cs="宋体" w:eastAsia="宋体"/>
          <w:sz w:val="28"/>
        </w:rPr>
        <w:instrText xml:space="preserve">REF ref_图1_4 \h \* MERGEFORMAT</w:instrText>
      </w:r>
      <w:r>
        <w:rPr>
          <w:rFonts w:ascii="宋体" w:hAnsi="宋体" w:eastAsia="宋体" w:cs="宋体"/>
          <w:sz w:val="28"/>
        </w:rPr>
        <w:fldChar w:fldCharType="separate"/>
      </w:r>
      <w:r>
        <w:rPr>
          <w:rFonts w:ascii="宋体" w:hAnsi="宋体" w:eastAsia="宋体" w:cs="宋体"/>
          <w:sz w:val="28"/>
        </w:rPr>
        <w:t>图 1-4</w:t>
      </w:r>
      <w:r>
        <w:rPr>
          <w:rFonts w:ascii="宋体" w:hAnsi="宋体" w:eastAsia="宋体" w:cs="宋体"/>
          <w:sz w:val="28"/>
        </w:rPr>
        <w:fldChar w:fldCharType="end"/>
      </w:r>
      <w:r>
        <w:rPr>
          <w:rFonts w:ascii="宋体" w:hAnsi="宋体" w:eastAsia="宋体" w:cs="宋体"/>
          <w:sz w:val="28"/>
        </w:rPr>
        <w:t xml:space="preserve"> 所示，各类别目标均包含来自不同区域、不同成像条件的样本，绿色矩形为水平外接标注框，能够直观呈现机场、港口、桥梁、船舶、车辆等类别在尺度、背景与形态上的显著差异。</w:t>
      </w:r>
    </w:p>
    <w:p w14:paraId="3EEC22B8">
      <w:pPr>
        <w:pStyle w:val="5"/>
        <w:rPr>
          <w:rFonts w:hint="eastAsia" w:ascii="等线" w:hAnsi="等线" w:eastAsia="等线" w:cs="等线"/>
        </w:rPr>
      </w:pPr>
      <w:r>
        <w:rPr>
          <w:rFonts w:hint="eastAsia" w:ascii="等线" w:hAnsi="等线" w:eastAsia="等线" w:cs="等线"/>
          <w:b/>
          <w:sz w:val="23"/>
        </w:rPr>
        <w:t>1.2.3 20 个类别与类别语义</w:t>
      </w:r>
    </w:p>
    <w:p w14:paraId="05BF8483">
      <w:pPr>
        <w:spacing w:after="120" w:line="360" w:lineRule="auto"/>
        <w:ind w:firstLine="560"/>
        <w:rPr>
          <w:rFonts w:ascii="宋体" w:hAnsi="宋体" w:eastAsia="宋体" w:cs="宋体"/>
          <w:sz w:val="28"/>
        </w:rPr>
      </w:pPr>
      <w:r>
        <w:rPr>
          <w:rFonts w:ascii="宋体" w:hAnsi="宋体" w:eastAsia="宋体" w:cs="宋体"/>
          <w:sz w:val="28"/>
        </w:rPr>
        <w:t>DIOR 共设置 20 个地物类别，分别为：飞机、机场、棒球场、篮球场、桥梁、烟囱、水坝、高速公路服务区、高速公路收费站、高尔夫球场、田径场、港口、立交桥、船舶、体育场、储油罐、网球场、火车站、车辆、风力机。</w:t>
      </w:r>
    </w:p>
    <w:p w14:paraId="61F299AF">
      <w:pPr>
        <w:spacing w:after="120" w:line="360" w:lineRule="auto"/>
        <w:ind w:firstLine="560"/>
        <w:rPr>
          <w:rFonts w:ascii="宋体" w:hAnsi="宋体" w:eastAsia="宋体" w:cs="宋体"/>
          <w:sz w:val="28"/>
        </w:rPr>
      </w:pPr>
      <w:r>
        <w:rPr>
          <w:rFonts w:ascii="宋体" w:hAnsi="宋体" w:eastAsia="宋体" w:cs="宋体"/>
          <w:sz w:val="28"/>
        </w:rPr>
        <w:t>类别体系遵循 “通用覆盖 + 细分挑战” 的设计原则：既覆盖了飞机、船舶、车辆、储油罐等遥感监测中最常见的通用目标，也纳入了烟囱、水坝、风力机等细分工业与能源设施，以及高速公路服务区、收费站等交通基础设施类目标，能够支撑不同应用场景的教学训练。</w:t>
      </w:r>
    </w:p>
    <w:p w14:paraId="51ED2C2B">
      <w:pPr>
        <w:spacing w:after="120" w:line="360" w:lineRule="auto"/>
        <w:ind w:firstLine="560"/>
        <w:rPr>
          <w:rFonts w:ascii="宋体" w:hAnsi="宋体" w:eastAsia="宋体" w:cs="宋体"/>
          <w:sz w:val="28"/>
        </w:rPr>
      </w:pPr>
      <w:r>
        <w:rPr>
          <w:rFonts w:ascii="宋体" w:hAnsi="宋体" w:eastAsia="宋体" w:cs="宋体"/>
          <w:sz w:val="28"/>
        </w:rPr>
        <w:t>特别值得注意的是，数据集特意设置了多组高外观相似性的类别，例如桥梁与立交桥、水坝与桥梁、田径场与体育场、网球场与篮球场。这类设计提升了检测任务的挑战性，要求模型不能仅依赖局部纹理特征，还需要理解目标的整体结构与场景语义，才能区分类似地物。因此 DIOR 不仅可用于目标定位训练，还可以支撑细粒度图像分类、类间混淆分析等拓展实验。</w:t>
      </w:r>
    </w:p>
    <w:p w14:paraId="1E80C28D">
      <w:pPr>
        <w:pStyle w:val="5"/>
        <w:rPr>
          <w:rFonts w:hint="eastAsia" w:ascii="等线" w:hAnsi="等线" w:eastAsia="等线" w:cs="等线"/>
        </w:rPr>
      </w:pPr>
      <w:r>
        <w:rPr>
          <w:rFonts w:hint="eastAsia" w:ascii="等线" w:hAnsi="等线" w:eastAsia="等线" w:cs="等线"/>
          <w:b/>
          <w:sz w:val="23"/>
        </w:rPr>
        <w:t>1.2.4 实例分布与尺度特性</w:t>
      </w:r>
    </w:p>
    <w:p w14:paraId="619C89CD">
      <w:pPr>
        <w:spacing w:after="120" w:line="360" w:lineRule="auto"/>
        <w:ind w:firstLine="560"/>
        <w:rPr>
          <w:rFonts w:ascii="宋体" w:hAnsi="宋体" w:eastAsia="宋体" w:cs="宋体"/>
          <w:sz w:val="28"/>
        </w:rPr>
      </w:pPr>
      <w:r>
        <w:rPr>
          <w:rFonts w:ascii="宋体" w:hAnsi="宋体" w:eastAsia="宋体" w:cs="宋体"/>
          <w:sz w:val="28"/>
        </w:rPr>
        <w:t>DIOR 各类别的样本数量与目标尺寸均存在显著差异，这是真实遥感场景的客观特征，也是教学中需要重点讲解的检测难点。</w:t>
      </w:r>
    </w:p>
    <w:p w14:paraId="4D608433">
      <w:pPr>
        <w:spacing w:after="120" w:line="360" w:lineRule="auto"/>
        <w:ind w:firstLine="560"/>
        <w:rPr>
          <w:rFonts w:ascii="宋体" w:hAnsi="宋体" w:eastAsia="宋体" w:cs="宋体"/>
          <w:sz w:val="28"/>
        </w:rPr>
      </w:pPr>
      <w:r>
        <w:rPr>
          <w:rFonts w:ascii="宋体" w:hAnsi="宋体" w:eastAsia="宋体" w:cs="宋体"/>
          <w:sz w:val="28"/>
        </w:rPr>
        <w:t>从实例数量分布来看，不同类别的样本规模极不均衡。如</w:t>
      </w:r>
      <w:r>
        <w:rPr>
          <w:rFonts w:ascii="宋体" w:hAnsi="宋体" w:eastAsia="宋体" w:cs="宋体"/>
          <w:sz w:val="28"/>
        </w:rPr>
        <w:fldChar w:fldCharType="begin"/>
      </w:r>
      <w:r>
        <w:rPr>
          <w:rFonts w:ascii="宋体" w:hAnsi="宋体" w:cs="宋体" w:eastAsia="宋体"/>
          <w:sz w:val="28"/>
        </w:rPr>
        <w:instrText xml:space="preserve">REF ref_图1_5 \h \* MERGEFORMAT</w:instrText>
      </w:r>
      <w:r>
        <w:rPr>
          <w:rFonts w:ascii="宋体" w:hAnsi="宋体" w:eastAsia="宋体" w:cs="宋体"/>
          <w:sz w:val="28"/>
        </w:rPr>
        <w:fldChar w:fldCharType="separate"/>
      </w:r>
      <w:r>
        <w:rPr>
          <w:rFonts w:ascii="宋体" w:hAnsi="宋体" w:eastAsia="宋体" w:cs="宋体"/>
          <w:sz w:val="28"/>
        </w:rPr>
        <w:t>图 1-5</w:t>
      </w:r>
      <w:r>
        <w:rPr>
          <w:rFonts w:ascii="宋体" w:hAnsi="宋体" w:eastAsia="宋体" w:cs="宋体"/>
          <w:sz w:val="28"/>
        </w:rPr>
        <w:fldChar w:fldCharType="end"/>
      </w:r>
      <w:r>
        <w:rPr>
          <w:rFonts w:ascii="宋体" w:hAnsi="宋体" w:eastAsia="宋体" w:cs="宋体"/>
          <w:sz w:val="28"/>
        </w:rPr>
        <w:t xml:space="preserve"> 所示，该图以横向条形图展示 20 个类别的实例总量：纵轴为目标类别名称，从上到下依次排列全部 20 类地物；横轴为对应类别的目标实例数量，采用对数刻度，刻度范围从 500 到 64000。采用对数刻度的原因在于，不同类别实例规模差异可达两个数量级：车辆、船舶等大类的实例数可达数万量级，而火车站、高速公路收费站等长尾类别的实例数仅数百个；若使用线性刻度，小样本类别的条形长度会极短而难以对比，对数刻度可以在同一幅图中清晰呈现所有类别的数量级差异。</w:t>
      </w:r>
    </w:p>
    <w:p w14:paraId="6789B17F">
      <w:pPr>
        <w:spacing w:after="120" w:line="360" w:lineRule="auto"/>
        <w:jc w:val="center"/>
      </w:pPr>
      <w:r>
        <w:rPr>
          <w:rFonts w:ascii="宋体" w:hAnsi="宋体" w:eastAsia="宋体" w:cs="宋体"/>
          <w:sz w:val="28"/>
        </w:rPr>
        <w:drawing>
          <wp:inline distT="0" distB="0" distL="114300" distR="114300">
            <wp:extent cx="5715000" cy="1786255"/>
            <wp:effectExtent l="0" t="0" r="0" b="171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5715000" cy="1786824"/>
                    </a:xfrm>
                    <a:prstGeom prst="rect">
                      <a:avLst/>
                    </a:prstGeom>
                  </pic:spPr>
                </pic:pic>
              </a:graphicData>
            </a:graphic>
          </wp:inline>
        </w:drawing>
      </w:r>
    </w:p>
    <w:p w14:paraId="5C4B90A7">
      <w:pPr>
        <w:spacing w:line="360" w:lineRule="auto" w:after="120"/>
        <w:ind w:firstLine="560"/>
        <w:jc w:val="center"/>
      </w:pPr>
      <w:bookmarkStart w:id="7" w:name="ref_图1_5"/>
      <w:r>
        <w:rPr>
          <w:rFonts w:ascii="宋体" w:hAnsi="宋体" w:eastAsia="宋体" w:cs="宋体"/>
          <w:b/>
          <w:sz w:val="28"/>
        </w:rPr>
        <w:t>图 1-5 DIOR 各类别目标实例数量分布。车辆和船舶实例数最多，交通服务设施和火车站等类别较少。横轴为对数刻度。来源：Li et al., Fig. 3。</w:t>
      </w:r>
      <w:bookmarkEnd w:id="7"/>
    </w:p>
    <w:p w14:paraId="5A184EF2">
      <w:pPr>
        <w:spacing w:after="120" w:line="360" w:lineRule="auto"/>
        <w:ind w:firstLine="560"/>
        <w:rPr>
          <w:rFonts w:ascii="宋体" w:hAnsi="宋体" w:eastAsia="宋体" w:cs="宋体"/>
          <w:sz w:val="28"/>
        </w:rPr>
      </w:pPr>
      <w:r>
        <w:rPr>
          <w:rFonts w:ascii="宋体" w:hAnsi="宋体" w:eastAsia="宋体" w:cs="宋体"/>
          <w:sz w:val="28"/>
        </w:rPr>
        <w:t>从图中可以直观看到，车辆和船舶的实例数量遥遥领先，是数据集中的优势类别；而火车站、高速公路收费站、高速公路服务区等交通设施类目标样本量相对较少，属于典型的长尾类别。这种分布贴近真实遥感应用的实际情况 —— 常见目标样本量大、小众目标样本稀缺。教学中需要特别强调：整体 mAP 指标会被大类别的性能拉高，容易掩盖长尾类别的检测效果，因此实验评估必须逐类别输出 AP 值，同时关注小样本类别的召回率，避免出现 “整体指标好看但小众目标完全检测不到” 的问题。</w:t>
      </w:r>
    </w:p>
    <w:p w14:paraId="34CCDE10">
      <w:pPr>
        <w:spacing w:after="120" w:line="360" w:lineRule="auto"/>
        <w:ind w:firstLine="560"/>
        <w:rPr>
          <w:rFonts w:ascii="宋体" w:hAnsi="宋体" w:eastAsia="宋体" w:cs="宋体"/>
          <w:sz w:val="28"/>
        </w:rPr>
      </w:pPr>
      <w:r>
        <w:rPr>
          <w:rFonts w:ascii="宋体" w:hAnsi="宋体" w:eastAsia="宋体" w:cs="宋体"/>
          <w:sz w:val="28"/>
        </w:rPr>
        <w:t>从目标尺寸分布来看，类别间与类别内部的尺寸跨度都非常大。如</w:t>
      </w:r>
      <w:r>
        <w:rPr>
          <w:rFonts w:ascii="宋体" w:hAnsi="宋体" w:eastAsia="宋体" w:cs="宋体"/>
          <w:sz w:val="28"/>
        </w:rPr>
        <w:fldChar w:fldCharType="begin"/>
      </w:r>
      <w:r>
        <w:rPr>
          <w:rFonts w:ascii="宋体" w:hAnsi="宋体" w:cs="宋体" w:eastAsia="宋体"/>
          <w:sz w:val="28"/>
        </w:rPr>
        <w:instrText xml:space="preserve">REF ref_图1_6 \h \* MERGEFORMAT</w:instrText>
      </w:r>
      <w:r>
        <w:rPr>
          <w:rFonts w:ascii="宋体" w:hAnsi="宋体" w:eastAsia="宋体" w:cs="宋体"/>
          <w:sz w:val="28"/>
        </w:rPr>
        <w:fldChar w:fldCharType="separate"/>
      </w:r>
      <w:r>
        <w:rPr>
          <w:rFonts w:ascii="宋体" w:hAnsi="宋体" w:eastAsia="宋体" w:cs="宋体"/>
          <w:sz w:val="28"/>
        </w:rPr>
        <w:t>图 1-6</w:t>
      </w:r>
      <w:r>
        <w:rPr>
          <w:rFonts w:ascii="宋体" w:hAnsi="宋体" w:eastAsia="宋体" w:cs="宋体"/>
          <w:sz w:val="28"/>
        </w:rPr>
        <w:fldChar w:fldCharType="end"/>
      </w:r>
      <w:r>
        <w:rPr>
          <w:rFonts w:ascii="宋体" w:hAnsi="宋体" w:eastAsia="宋体" w:cs="宋体"/>
          <w:sz w:val="28"/>
        </w:rPr>
        <w:t xml:space="preserve"> 所示，该图以箱线图形式展示每个类别的目标高度分布：横轴为 20 个目标类别，纵轴为目标的像素高度，单位为像素，范围从 0 到 800 像素。每个箱线图中，中间的横线代表该类目标尺寸的中位数，箱体的上下边界分别对应尺寸的上四分位数和下四分位数，箱体上下延伸的须线分别代表该类目标的最大和最小观测值，超出须线范围的离群点会单独标记。</w:t>
      </w:r>
    </w:p>
    <w:p w14:paraId="14273BB2">
      <w:pPr>
        <w:spacing w:after="120" w:line="360" w:lineRule="auto"/>
        <w:jc w:val="center"/>
      </w:pPr>
      <w:r>
        <w:rPr>
          <w:rFonts w:ascii="宋体" w:hAnsi="宋体" w:eastAsia="宋体" w:cs="宋体"/>
          <w:sz w:val="28"/>
        </w:rPr>
        <w:drawing>
          <wp:inline distT="0" distB="0" distL="114300" distR="114300">
            <wp:extent cx="5715000" cy="1873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5715000" cy="1874184"/>
                    </a:xfrm>
                    <a:prstGeom prst="rect">
                      <a:avLst/>
                    </a:prstGeom>
                  </pic:spPr>
                </pic:pic>
              </a:graphicData>
            </a:graphic>
          </wp:inline>
        </w:drawing>
      </w:r>
    </w:p>
    <w:p w14:paraId="0246D225">
      <w:pPr>
        <w:spacing w:line="360" w:lineRule="auto" w:after="120"/>
        <w:ind w:firstLine="560"/>
        <w:jc w:val="center"/>
      </w:pPr>
      <w:bookmarkStart w:id="8" w:name="ref_图1_6"/>
      <w:r>
        <w:rPr>
          <w:rFonts w:ascii="宋体" w:hAnsi="宋体" w:eastAsia="宋体" w:cs="宋体"/>
          <w:b/>
          <w:sz w:val="28"/>
        </w:rPr>
        <w:t>图 1-6 DIOR 各类别目标尺寸分布。箱线图显示类别间及类别内均存在显著尺度差异。来源：Li et al., Fig. 4。</w:t>
      </w:r>
      <w:bookmarkEnd w:id="8"/>
    </w:p>
    <w:p w14:paraId="765A12CA">
      <w:pPr>
        <w:spacing w:after="120" w:line="360" w:lineRule="auto"/>
        <w:ind w:firstLine="560"/>
        <w:rPr>
          <w:rFonts w:ascii="宋体" w:hAnsi="宋体" w:eastAsia="宋体" w:cs="宋体"/>
          <w:sz w:val="28"/>
        </w:rPr>
      </w:pPr>
      <w:r>
        <w:rPr>
          <w:rFonts w:ascii="宋体" w:hAnsi="宋体" w:eastAsia="宋体" w:cs="宋体"/>
          <w:sz w:val="28"/>
        </w:rPr>
        <w:t>从分布规律来看，机场、体育场、高尔夫球场等场地类目标整体尺寸偏大，且尺寸离散程度相对较小；而船舶、车辆、储油罐、风力机等类别则包含大量小尺寸目标，同一类别内部的尺寸跨度极大。例如车辆类目标大多集中在小尺寸区间，但也存在部分大型车辆样本；桥梁类目标的尺寸差异同样显著，既有小型人行桥，也有大型跨江桥梁。这种多尺度特性是遥感目标检测的核心难点之一，教学中应理解：单一尺度的检测网络无法适配如此大的尺寸跨度，必须引入特征金字塔、多尺度检测等机制；实验报告也需要按大、中、小目标分别统计召回率，而非只看整体精度。</w:t>
      </w:r>
    </w:p>
    <w:p w14:paraId="64E1EE51">
      <w:pPr>
        <w:pStyle w:val="5"/>
        <w:rPr>
          <w:rFonts w:hint="eastAsia" w:ascii="等线" w:hAnsi="等线" w:eastAsia="等线" w:cs="等线"/>
        </w:rPr>
      </w:pPr>
      <w:r>
        <w:rPr>
          <w:rFonts w:hint="eastAsia" w:ascii="等线" w:hAnsi="等线" w:eastAsia="等线" w:cs="等线"/>
          <w:b/>
          <w:sz w:val="23"/>
        </w:rPr>
        <w:t>1.2.5 标注方式与数据划分</w:t>
      </w:r>
    </w:p>
    <w:p w14:paraId="4A7F2735">
      <w:pPr>
        <w:spacing w:after="120" w:line="360" w:lineRule="auto"/>
        <w:ind w:firstLine="560"/>
        <w:rPr>
          <w:rFonts w:ascii="宋体" w:hAnsi="宋体" w:eastAsia="宋体" w:cs="宋体"/>
          <w:sz w:val="28"/>
        </w:rPr>
      </w:pPr>
      <w:r>
        <w:rPr>
          <w:rFonts w:ascii="宋体" w:hAnsi="宋体" w:eastAsia="宋体" w:cs="宋体"/>
          <w:sz w:val="28"/>
        </w:rPr>
        <w:t>DIOR 采用标准的水平轴对齐边界框（HBB） 标注，每个目标由左上角(xmin, ymin)和右下角(xmax, ymax)两个坐标点定义，标注文件采用 PASCAL VOC 标准的 XML 格式存储，包含图像尺寸、类别名称、边界框坐标等完整信息。</w:t>
      </w:r>
    </w:p>
    <w:p w14:paraId="492F9079">
      <w:pPr>
        <w:spacing w:after="120" w:line="360" w:lineRule="auto"/>
        <w:ind w:firstLine="560"/>
        <w:rPr>
          <w:rFonts w:ascii="宋体" w:hAnsi="宋体" w:eastAsia="宋体" w:cs="宋体"/>
          <w:sz w:val="28"/>
        </w:rPr>
      </w:pPr>
      <w:r>
        <w:rPr>
          <w:rFonts w:ascii="宋体" w:hAnsi="宋体" w:eastAsia="宋体" w:cs="宋体"/>
          <w:sz w:val="28"/>
        </w:rPr>
        <w:t>这种标注格式的核心优势是与通用计算机视觉目标检测体系完全兼容，绝大多数开源检测模型无需修改即可直接在 DIOR 上训练，非常适合作为遥感目标检测入门阶段的教学数据，可快速掌握检测模型的基本训练与评估流程。但水平框标注也存在明显的局限性：对于任意朝向的目标，如倾斜的船舶、飞机，水平框会包裹大量冗余背景区域，无法精准贴合目标轮廓，也不能表达目标的朝向信息。这也是后续引入 DOTA 旋转四边形标注的核心原因，二者形成 “水平框入门→旋转框进阶” 的完整教学路径。</w:t>
      </w:r>
    </w:p>
    <w:p w14:paraId="41436E97">
      <w:pPr>
        <w:spacing w:after="120" w:line="360" w:lineRule="auto"/>
        <w:ind w:firstLine="560"/>
        <w:rPr>
          <w:rFonts w:ascii="宋体" w:hAnsi="宋体" w:eastAsia="宋体" w:cs="宋体"/>
          <w:sz w:val="28"/>
        </w:rPr>
      </w:pPr>
      <w:r>
        <w:rPr>
          <w:rFonts w:ascii="宋体" w:hAnsi="宋体" w:eastAsia="宋体" w:cs="宋体"/>
          <w:sz w:val="28"/>
        </w:rPr>
        <w:t>在数据划分上，DIOR 官方采用近似 1:1 的比例划分训练验证集与测试集，其中训练验证集共 11725 幅图像，测试集共 11738 幅图像；训练验证集内部又进一步划分为 5862 幅训练图像和 5863 幅验证图像。与常见的 7:3 划分方式不同，DIOR 设置更大比例的测试集，能够更严格地验证模型的泛化能力，降低过拟合带来的指标虚高。</w:t>
      </w:r>
    </w:p>
    <w:p w14:paraId="283C459C">
      <w:pPr>
        <w:spacing w:after="120" w:line="360" w:lineRule="auto"/>
        <w:ind w:firstLine="560"/>
        <w:rPr>
          <w:rFonts w:ascii="宋体" w:hAnsi="宋体" w:eastAsia="宋体" w:cs="宋体"/>
          <w:sz w:val="28"/>
        </w:rPr>
      </w:pPr>
      <w:r>
        <w:rPr>
          <w:rFonts w:ascii="宋体" w:hAnsi="宋体" w:eastAsia="宋体" w:cs="宋体"/>
          <w:sz w:val="28"/>
        </w:rPr>
        <w:t>需要注意的是，统计各类别对应的图像数量时，单幅图像可同时包含多个类别目标，因此各类别图像数之和会大于总图像数。教学中若需自行划分实验子集，必须以完整影像为最小单位，固定随机种子，保证子集的类别分布、尺寸分布与全集保持一致，避免因划分不当引入数据偏差。</w:t>
      </w:r>
    </w:p>
    <w:p w14:paraId="50A6E9A4">
      <w:pPr>
        <w:pStyle w:val="5"/>
        <w:rPr>
          <w:rFonts w:hint="eastAsia" w:ascii="等线" w:hAnsi="等线" w:eastAsia="等线" w:cs="等线"/>
        </w:rPr>
      </w:pPr>
      <w:r>
        <w:rPr>
          <w:rFonts w:hint="eastAsia" w:ascii="等线" w:hAnsi="等线" w:eastAsia="等线" w:cs="等线"/>
          <w:b/>
          <w:sz w:val="23"/>
        </w:rPr>
        <w:t>1.2.6 基准模型性能表现</w:t>
      </w:r>
    </w:p>
    <w:p w14:paraId="7F7F64C4">
      <w:pPr>
        <w:spacing w:after="120" w:line="360" w:lineRule="auto"/>
        <w:ind w:firstLine="560"/>
        <w:rPr>
          <w:rFonts w:ascii="宋体" w:hAnsi="宋体" w:eastAsia="宋体" w:cs="宋体"/>
          <w:sz w:val="28"/>
        </w:rPr>
      </w:pPr>
      <w:r>
        <w:rPr>
          <w:rFonts w:ascii="宋体" w:hAnsi="宋体" w:eastAsia="宋体" w:cs="宋体"/>
          <w:sz w:val="28"/>
        </w:rPr>
        <w:t>基于 DIOR 测试集，原论文工作对 12 种主流目标检测模型进行了系统的基准测试，评估标准为 IoU 阈值 0.5 下的平均精度（AP）与平均精度均值（mAP）。</w:t>
      </w:r>
      <w:r>
        <w:rPr>
          <w:rFonts w:ascii="宋体" w:hAnsi="宋体" w:eastAsia="宋体" w:cs="宋体"/>
          <w:sz w:val="28"/>
        </w:rPr>
        <w:fldChar w:fldCharType="begin"/>
      </w:r>
      <w:r>
        <w:rPr>
          <w:rFonts w:ascii="宋体" w:hAnsi="宋体" w:cs="宋体" w:eastAsia="宋体"/>
          <w:sz w:val="28"/>
        </w:rPr>
        <w:instrText xml:space="preserve">REF ref_表1_3 \h \* MERGEFORMAT</w:instrText>
      </w:r>
      <w:r>
        <w:rPr>
          <w:rFonts w:ascii="宋体" w:hAnsi="宋体" w:eastAsia="宋体" w:cs="宋体"/>
          <w:sz w:val="28"/>
        </w:rPr>
        <w:fldChar w:fldCharType="separate"/>
      </w:r>
      <w:r>
        <w:rPr>
          <w:rFonts w:ascii="宋体" w:hAnsi="宋体" w:eastAsia="宋体" w:cs="宋体"/>
          <w:sz w:val="28"/>
        </w:rPr>
        <w:t>表 1-3</w:t>
      </w:r>
      <w:r>
        <w:rPr>
          <w:rFonts w:ascii="宋体" w:hAnsi="宋体" w:eastAsia="宋体" w:cs="宋体"/>
          <w:sz w:val="28"/>
        </w:rPr>
        <w:fldChar w:fldCharType="end"/>
      </w:r>
      <w:r>
        <w:rPr>
          <w:rFonts w:ascii="宋体" w:hAnsi="宋体" w:eastAsia="宋体" w:cs="宋体"/>
          <w:sz w:val="28"/>
        </w:rPr>
        <w:t xml:space="preserve"> 整理了其中代表性模型的性能结果，能够清晰反映不同技术路线在遥感影像上的效果差异。</w:t>
      </w:r>
    </w:p>
    <w:p w14:paraId="6BC0379E">
      <w:pPr>
        <w:spacing w:line="360" w:lineRule="auto" w:after="120"/>
        <w:ind w:firstLine="560"/>
        <w:jc w:val="center"/>
      </w:pPr>
      <w:bookmarkStart w:id="9" w:name="ref_表1_3"/>
      <w:r>
        <w:rPr>
          <w:rFonts w:ascii="宋体" w:hAnsi="宋体" w:eastAsia="宋体" w:cs="宋体"/>
          <w:b/>
          <w:sz w:val="28"/>
        </w:rPr>
        <w:t>表 1-3 DIOR 测试集上的部分基准结果（IoU &gt; 0.5）。数据来源：Li et al., Table 3。</w:t>
      </w:r>
      <w:bookmarkEnd w:id="9"/>
    </w:p>
    <w:tbl>
      <w:tblPr>
        <w:tblStyle w:val="32"/>
        <w:tblW w:w="0" w:type="auto"/>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autofit"/>
        <w:tblCellMar>
          <w:top w:w="0" w:type="dxa"/>
          <w:left w:w="108" w:type="dxa"/>
          <w:bottom w:w="0" w:type="dxa"/>
          <w:right w:w="108" w:type="dxa"/>
        </w:tblCellMar>
      </w:tblPr>
      <w:tblGrid>
        <w:gridCol w:w="3264"/>
        <w:gridCol w:w="3264"/>
        <w:gridCol w:w="3264"/>
      </w:tblGrid>
      <w:tr w14:paraId="09C5E7FF">
        <w:trPr>
          <w:jc w:val="center"/>
        </w:trPr>
        <w:tc>
          <w:tcPr>
            <w:tcW w:w="3264" w:type="dxa"/>
            <w:shd w:val="clear" w:color="auto" w:fill="1F4E78"/>
            <w:vAlign w:val="center"/>
          </w:tcPr>
          <w:p w14:paraId="00A33D91">
            <w:pPr>
              <w:spacing w:line="300" w:lineRule="auto" w:after="0"/>
              <w:jc w:val="center"/>
            </w:pPr>
            <w:r>
              <w:rPr>
                <w:rFonts w:ascii="宋体" w:hAnsi="宋体" w:eastAsia="宋体" w:cs="宋体"/>
                <w:b/>
                <w:color w:val="FFFFFF"/>
                <w:sz w:val="21"/>
              </w:rPr>
              <w:t>检测模型</w:t>
            </w:r>
          </w:p>
        </w:tc>
        <w:tc>
          <w:tcPr>
            <w:tcW w:w="3264" w:type="dxa"/>
            <w:shd w:val="clear" w:color="auto" w:fill="1F4E78"/>
            <w:vAlign w:val="center"/>
          </w:tcPr>
          <w:p w14:paraId="2CE5E00F">
            <w:pPr>
              <w:spacing w:line="300" w:lineRule="auto" w:after="0"/>
              <w:jc w:val="center"/>
            </w:pPr>
            <w:r>
              <w:rPr>
                <w:rFonts w:ascii="宋体" w:hAnsi="宋体" w:eastAsia="宋体" w:cs="宋体"/>
                <w:b/>
                <w:color w:val="FFFFFF"/>
                <w:sz w:val="21"/>
              </w:rPr>
              <w:t>骨干网络</w:t>
            </w:r>
          </w:p>
        </w:tc>
        <w:tc>
          <w:tcPr>
            <w:tcW w:w="3264" w:type="dxa"/>
            <w:shd w:val="clear" w:color="auto" w:fill="1F4E78"/>
            <w:vAlign w:val="center"/>
          </w:tcPr>
          <w:p w14:paraId="21BEB513">
            <w:pPr>
              <w:spacing w:line="300" w:lineRule="auto" w:after="0"/>
              <w:jc w:val="center"/>
            </w:pPr>
            <w:r>
              <w:rPr>
                <w:rFonts w:ascii="宋体" w:hAnsi="宋体" w:eastAsia="宋体" w:cs="宋体"/>
                <w:b/>
                <w:color w:val="FFFFFF"/>
                <w:sz w:val="21"/>
              </w:rPr>
              <w:t>mAP（%）</w:t>
            </w:r>
          </w:p>
        </w:tc>
      </w:tr>
      <w:tr w14:paraId="5BA95118">
        <w:trPr>
          <w:jc w:val="center"/>
        </w:trPr>
        <w:tc>
          <w:tcPr>
            <w:tcW w:w="3264" w:type="dxa"/>
            <w:vAlign w:val="center"/>
          </w:tcPr>
          <w:p w14:paraId="26D35E6C">
            <w:pPr>
              <w:spacing w:line="300" w:lineRule="auto" w:after="0"/>
              <w:jc w:val="left"/>
            </w:pPr>
            <w:r>
              <w:rPr>
                <w:rFonts w:ascii="宋体" w:hAnsi="宋体" w:eastAsia="宋体" w:cs="宋体"/>
                <w:sz w:val="21"/>
              </w:rPr>
              <w:t>R-CNN</w:t>
            </w:r>
          </w:p>
        </w:tc>
        <w:tc>
          <w:tcPr>
            <w:tcW w:w="3264" w:type="dxa"/>
            <w:vAlign w:val="center"/>
          </w:tcPr>
          <w:p w14:paraId="56B66AB8">
            <w:pPr>
              <w:spacing w:line="300" w:lineRule="auto" w:after="0"/>
              <w:jc w:val="left"/>
            </w:pPr>
            <w:r>
              <w:rPr>
                <w:rFonts w:ascii="宋体" w:hAnsi="宋体" w:eastAsia="宋体" w:cs="宋体"/>
                <w:sz w:val="21"/>
              </w:rPr>
              <w:t>VGG16</w:t>
            </w:r>
          </w:p>
        </w:tc>
        <w:tc>
          <w:tcPr>
            <w:tcW w:w="3264" w:type="dxa"/>
            <w:vAlign w:val="center"/>
          </w:tcPr>
          <w:p w14:paraId="4CC3F741">
            <w:pPr>
              <w:spacing w:line="300" w:lineRule="auto" w:after="0"/>
              <w:jc w:val="center"/>
            </w:pPr>
            <w:r>
              <w:rPr>
                <w:rFonts w:ascii="宋体" w:hAnsi="宋体" w:eastAsia="宋体" w:cs="宋体"/>
                <w:sz w:val="21"/>
              </w:rPr>
              <w:t>37.7</w:t>
            </w:r>
          </w:p>
        </w:tc>
      </w:tr>
      <w:tr w14:paraId="70D583C9">
        <w:trPr>
          <w:jc w:val="center"/>
        </w:trPr>
        <w:tc>
          <w:tcPr>
            <w:tcW w:w="3264" w:type="dxa"/>
            <w:shd w:val="clear" w:color="auto" w:fill="F2F6FA"/>
            <w:vAlign w:val="center"/>
          </w:tcPr>
          <w:p w14:paraId="2F1C58D5">
            <w:pPr>
              <w:spacing w:line="300" w:lineRule="auto" w:after="0"/>
              <w:jc w:val="left"/>
            </w:pPr>
            <w:r>
              <w:rPr>
                <w:rFonts w:ascii="宋体" w:hAnsi="宋体" w:eastAsia="宋体" w:cs="宋体"/>
                <w:sz w:val="21"/>
              </w:rPr>
              <w:t>Faster R-CNN</w:t>
            </w:r>
          </w:p>
        </w:tc>
        <w:tc>
          <w:tcPr>
            <w:tcW w:w="3264" w:type="dxa"/>
            <w:shd w:val="clear" w:color="auto" w:fill="F2F6FA"/>
            <w:vAlign w:val="center"/>
          </w:tcPr>
          <w:p w14:paraId="0ECF8896">
            <w:pPr>
              <w:spacing w:line="300" w:lineRule="auto" w:after="0"/>
              <w:jc w:val="left"/>
            </w:pPr>
            <w:r>
              <w:rPr>
                <w:rFonts w:ascii="宋体" w:hAnsi="宋体" w:eastAsia="宋体" w:cs="宋体"/>
                <w:sz w:val="21"/>
              </w:rPr>
              <w:t>VGG16</w:t>
            </w:r>
          </w:p>
        </w:tc>
        <w:tc>
          <w:tcPr>
            <w:tcW w:w="3264" w:type="dxa"/>
            <w:shd w:val="clear" w:color="auto" w:fill="F2F6FA"/>
            <w:vAlign w:val="center"/>
          </w:tcPr>
          <w:p w14:paraId="665F5841">
            <w:pPr>
              <w:spacing w:line="300" w:lineRule="auto" w:after="0"/>
              <w:jc w:val="center"/>
            </w:pPr>
            <w:r>
              <w:rPr>
                <w:rFonts w:ascii="宋体" w:hAnsi="宋体" w:eastAsia="宋体" w:cs="宋体"/>
                <w:sz w:val="21"/>
              </w:rPr>
              <w:t>54.1</w:t>
            </w:r>
          </w:p>
        </w:tc>
      </w:tr>
      <w:tr w14:paraId="0D04BCCA">
        <w:trPr>
          <w:jc w:val="center"/>
        </w:trPr>
        <w:tc>
          <w:tcPr>
            <w:tcW w:w="3264" w:type="dxa"/>
            <w:vAlign w:val="center"/>
          </w:tcPr>
          <w:p w14:paraId="6380D5C7">
            <w:pPr>
              <w:spacing w:line="300" w:lineRule="auto" w:after="0"/>
              <w:jc w:val="left"/>
            </w:pPr>
            <w:r>
              <w:rPr>
                <w:rFonts w:ascii="宋体" w:hAnsi="宋体" w:eastAsia="宋体" w:cs="宋体"/>
                <w:sz w:val="21"/>
              </w:rPr>
              <w:t>SSD</w:t>
            </w:r>
          </w:p>
        </w:tc>
        <w:tc>
          <w:tcPr>
            <w:tcW w:w="3264" w:type="dxa"/>
            <w:vAlign w:val="center"/>
          </w:tcPr>
          <w:p w14:paraId="5F0FF2EA">
            <w:pPr>
              <w:spacing w:line="300" w:lineRule="auto" w:after="0"/>
              <w:jc w:val="left"/>
            </w:pPr>
            <w:r>
              <w:rPr>
                <w:rFonts w:ascii="宋体" w:hAnsi="宋体" w:eastAsia="宋体" w:cs="宋体"/>
                <w:sz w:val="21"/>
              </w:rPr>
              <w:t>VGG16</w:t>
            </w:r>
          </w:p>
        </w:tc>
        <w:tc>
          <w:tcPr>
            <w:tcW w:w="3264" w:type="dxa"/>
            <w:vAlign w:val="center"/>
          </w:tcPr>
          <w:p w14:paraId="59CE7860">
            <w:pPr>
              <w:spacing w:line="300" w:lineRule="auto" w:after="0"/>
              <w:jc w:val="center"/>
            </w:pPr>
            <w:r>
              <w:rPr>
                <w:rFonts w:ascii="宋体" w:hAnsi="宋体" w:eastAsia="宋体" w:cs="宋体"/>
                <w:sz w:val="21"/>
              </w:rPr>
              <w:t>58.6</w:t>
            </w:r>
          </w:p>
        </w:tc>
      </w:tr>
      <w:tr w14:paraId="118AEEDA">
        <w:trPr>
          <w:jc w:val="center"/>
        </w:trPr>
        <w:tc>
          <w:tcPr>
            <w:tcW w:w="3264" w:type="dxa"/>
            <w:shd w:val="clear" w:color="auto" w:fill="F2F6FA"/>
            <w:vAlign w:val="center"/>
          </w:tcPr>
          <w:p w14:paraId="4CD58012">
            <w:pPr>
              <w:spacing w:line="300" w:lineRule="auto" w:after="0"/>
              <w:jc w:val="left"/>
            </w:pPr>
            <w:r>
              <w:rPr>
                <w:rFonts w:ascii="宋体" w:hAnsi="宋体" w:eastAsia="宋体" w:cs="宋体"/>
                <w:sz w:val="21"/>
              </w:rPr>
              <w:t>YOLOv3</w:t>
            </w:r>
          </w:p>
        </w:tc>
        <w:tc>
          <w:tcPr>
            <w:tcW w:w="3264" w:type="dxa"/>
            <w:shd w:val="clear" w:color="auto" w:fill="F2F6FA"/>
            <w:vAlign w:val="center"/>
          </w:tcPr>
          <w:p w14:paraId="2D268CA2">
            <w:pPr>
              <w:spacing w:line="300" w:lineRule="auto" w:after="0"/>
              <w:jc w:val="left"/>
            </w:pPr>
            <w:r>
              <w:rPr>
                <w:rFonts w:ascii="宋体" w:hAnsi="宋体" w:eastAsia="宋体" w:cs="宋体"/>
                <w:sz w:val="21"/>
              </w:rPr>
              <w:t>Darknet-53</w:t>
            </w:r>
          </w:p>
        </w:tc>
        <w:tc>
          <w:tcPr>
            <w:tcW w:w="3264" w:type="dxa"/>
            <w:shd w:val="clear" w:color="auto" w:fill="F2F6FA"/>
            <w:vAlign w:val="center"/>
          </w:tcPr>
          <w:p w14:paraId="4B0B378B">
            <w:pPr>
              <w:spacing w:line="300" w:lineRule="auto" w:after="0"/>
              <w:jc w:val="center"/>
            </w:pPr>
            <w:r>
              <w:rPr>
                <w:rFonts w:ascii="宋体" w:hAnsi="宋体" w:eastAsia="宋体" w:cs="宋体"/>
                <w:sz w:val="21"/>
              </w:rPr>
              <w:t>57.1</w:t>
            </w:r>
          </w:p>
        </w:tc>
      </w:tr>
      <w:tr w14:paraId="6CAF355F">
        <w:trPr>
          <w:jc w:val="center"/>
        </w:trPr>
        <w:tc>
          <w:tcPr>
            <w:tcW w:w="3264" w:type="dxa"/>
            <w:vAlign w:val="center"/>
          </w:tcPr>
          <w:p w14:paraId="7EE61ECA">
            <w:pPr>
              <w:spacing w:line="300" w:lineRule="auto" w:after="0"/>
              <w:jc w:val="left"/>
            </w:pPr>
            <w:r>
              <w:rPr>
                <w:rFonts w:ascii="宋体" w:hAnsi="宋体" w:eastAsia="宋体" w:cs="宋体"/>
                <w:sz w:val="21"/>
              </w:rPr>
              <w:t>Faster R-CNN + FPN</w:t>
            </w:r>
          </w:p>
        </w:tc>
        <w:tc>
          <w:tcPr>
            <w:tcW w:w="3264" w:type="dxa"/>
            <w:vAlign w:val="center"/>
          </w:tcPr>
          <w:p w14:paraId="1F137703">
            <w:pPr>
              <w:spacing w:line="300" w:lineRule="auto" w:after="0"/>
              <w:jc w:val="left"/>
            </w:pPr>
            <w:r>
              <w:rPr>
                <w:rFonts w:ascii="宋体" w:hAnsi="宋体" w:eastAsia="宋体" w:cs="宋体"/>
                <w:sz w:val="21"/>
              </w:rPr>
              <w:t>ResNet-101</w:t>
            </w:r>
          </w:p>
        </w:tc>
        <w:tc>
          <w:tcPr>
            <w:tcW w:w="3264" w:type="dxa"/>
            <w:vAlign w:val="center"/>
          </w:tcPr>
          <w:p w14:paraId="2865C87D">
            <w:pPr>
              <w:spacing w:line="300" w:lineRule="auto" w:after="0"/>
              <w:jc w:val="center"/>
            </w:pPr>
            <w:r>
              <w:rPr>
                <w:rFonts w:ascii="宋体" w:hAnsi="宋体" w:eastAsia="宋体" w:cs="宋体"/>
                <w:sz w:val="21"/>
              </w:rPr>
              <w:t>65.1</w:t>
            </w:r>
          </w:p>
        </w:tc>
      </w:tr>
      <w:tr w14:paraId="164ACEF7">
        <w:trPr>
          <w:jc w:val="center"/>
        </w:trPr>
        <w:tc>
          <w:tcPr>
            <w:tcW w:w="3264" w:type="dxa"/>
            <w:shd w:val="clear" w:color="auto" w:fill="F2F6FA"/>
            <w:vAlign w:val="center"/>
          </w:tcPr>
          <w:p w14:paraId="699716B0">
            <w:pPr>
              <w:spacing w:line="300" w:lineRule="auto" w:after="0"/>
              <w:jc w:val="left"/>
            </w:pPr>
            <w:r>
              <w:rPr>
                <w:rFonts w:ascii="宋体" w:hAnsi="宋体" w:eastAsia="宋体" w:cs="宋体"/>
                <w:sz w:val="21"/>
              </w:rPr>
              <w:t>Mask R-CNN + FPN</w:t>
            </w:r>
          </w:p>
        </w:tc>
        <w:tc>
          <w:tcPr>
            <w:tcW w:w="3264" w:type="dxa"/>
            <w:shd w:val="clear" w:color="auto" w:fill="F2F6FA"/>
            <w:vAlign w:val="center"/>
          </w:tcPr>
          <w:p w14:paraId="54AD53A1">
            <w:pPr>
              <w:spacing w:line="300" w:lineRule="auto" w:after="0"/>
              <w:jc w:val="left"/>
            </w:pPr>
            <w:r>
              <w:rPr>
                <w:rFonts w:ascii="宋体" w:hAnsi="宋体" w:eastAsia="宋体" w:cs="宋体"/>
                <w:sz w:val="21"/>
              </w:rPr>
              <w:t>ResNet-101</w:t>
            </w:r>
          </w:p>
        </w:tc>
        <w:tc>
          <w:tcPr>
            <w:tcW w:w="3264" w:type="dxa"/>
            <w:shd w:val="clear" w:color="auto" w:fill="F2F6FA"/>
            <w:vAlign w:val="center"/>
          </w:tcPr>
          <w:p w14:paraId="2DF1EB87">
            <w:pPr>
              <w:spacing w:line="300" w:lineRule="auto" w:after="0"/>
              <w:jc w:val="center"/>
            </w:pPr>
            <w:r>
              <w:rPr>
                <w:rFonts w:ascii="宋体" w:hAnsi="宋体" w:eastAsia="宋体" w:cs="宋体"/>
                <w:sz w:val="21"/>
              </w:rPr>
              <w:t>65.2</w:t>
            </w:r>
          </w:p>
        </w:tc>
      </w:tr>
      <w:tr w14:paraId="3BB061B7">
        <w:trPr>
          <w:jc w:val="center"/>
        </w:trPr>
        <w:tc>
          <w:tcPr>
            <w:tcW w:w="3264" w:type="dxa"/>
            <w:vAlign w:val="center"/>
          </w:tcPr>
          <w:p w14:paraId="7BF5F2BA">
            <w:pPr>
              <w:spacing w:line="300" w:lineRule="auto" w:after="0"/>
              <w:jc w:val="left"/>
            </w:pPr>
            <w:r>
              <w:rPr>
                <w:rFonts w:ascii="宋体" w:hAnsi="宋体" w:eastAsia="宋体" w:cs="宋体"/>
                <w:sz w:val="21"/>
              </w:rPr>
              <w:t>RetinaNet</w:t>
            </w:r>
          </w:p>
        </w:tc>
        <w:tc>
          <w:tcPr>
            <w:tcW w:w="3264" w:type="dxa"/>
            <w:vAlign w:val="center"/>
          </w:tcPr>
          <w:p w14:paraId="6627206D">
            <w:pPr>
              <w:spacing w:line="300" w:lineRule="auto" w:after="0"/>
              <w:jc w:val="left"/>
            </w:pPr>
            <w:r>
              <w:rPr>
                <w:rFonts w:ascii="宋体" w:hAnsi="宋体" w:eastAsia="宋体" w:cs="宋体"/>
                <w:sz w:val="21"/>
              </w:rPr>
              <w:t>ResNet-101</w:t>
            </w:r>
          </w:p>
        </w:tc>
        <w:tc>
          <w:tcPr>
            <w:tcW w:w="3264" w:type="dxa"/>
            <w:vAlign w:val="center"/>
          </w:tcPr>
          <w:p w14:paraId="40438F87">
            <w:pPr>
              <w:spacing w:line="300" w:lineRule="auto" w:after="0"/>
              <w:jc w:val="center"/>
            </w:pPr>
            <w:r>
              <w:rPr>
                <w:rFonts w:ascii="宋体" w:hAnsi="宋体" w:eastAsia="宋体" w:cs="宋体"/>
                <w:sz w:val="21"/>
              </w:rPr>
              <w:t>66.1</w:t>
            </w:r>
          </w:p>
        </w:tc>
      </w:tr>
      <w:tr w14:paraId="0BCC5C0D">
        <w:trPr>
          <w:jc w:val="center"/>
        </w:trPr>
        <w:tc>
          <w:tcPr>
            <w:tcW w:w="3264" w:type="dxa"/>
            <w:shd w:val="clear" w:color="auto" w:fill="F2F6FA"/>
            <w:vAlign w:val="center"/>
          </w:tcPr>
          <w:p w14:paraId="1320CA2B">
            <w:pPr>
              <w:spacing w:line="300" w:lineRule="auto" w:after="0"/>
              <w:jc w:val="left"/>
            </w:pPr>
            <w:r>
              <w:rPr>
                <w:rFonts w:ascii="宋体" w:hAnsi="宋体" w:eastAsia="宋体" w:cs="宋体"/>
                <w:sz w:val="21"/>
              </w:rPr>
              <w:t>PANet</w:t>
            </w:r>
          </w:p>
        </w:tc>
        <w:tc>
          <w:tcPr>
            <w:tcW w:w="3264" w:type="dxa"/>
            <w:shd w:val="clear" w:color="auto" w:fill="F2F6FA"/>
            <w:vAlign w:val="center"/>
          </w:tcPr>
          <w:p w14:paraId="63FB7CE3">
            <w:pPr>
              <w:spacing w:line="300" w:lineRule="auto" w:after="0"/>
              <w:jc w:val="left"/>
            </w:pPr>
            <w:r>
              <w:rPr>
                <w:rFonts w:ascii="宋体" w:hAnsi="宋体" w:eastAsia="宋体" w:cs="宋体"/>
                <w:sz w:val="21"/>
              </w:rPr>
              <w:t>ResNet-101</w:t>
            </w:r>
          </w:p>
        </w:tc>
        <w:tc>
          <w:tcPr>
            <w:tcW w:w="3264" w:type="dxa"/>
            <w:shd w:val="clear" w:color="auto" w:fill="F2F6FA"/>
            <w:vAlign w:val="center"/>
          </w:tcPr>
          <w:p w14:paraId="3A865A36">
            <w:pPr>
              <w:spacing w:line="300" w:lineRule="auto" w:after="0"/>
              <w:jc w:val="center"/>
            </w:pPr>
            <w:r>
              <w:rPr>
                <w:rFonts w:ascii="宋体" w:hAnsi="宋体" w:eastAsia="宋体" w:cs="宋体"/>
                <w:sz w:val="21"/>
              </w:rPr>
              <w:t>66.1</w:t>
            </w:r>
          </w:p>
        </w:tc>
      </w:tr>
      <w:tr w14:paraId="1BD93E2F">
        <w:trPr>
          <w:jc w:val="center"/>
        </w:trPr>
        <w:tc>
          <w:tcPr>
            <w:tcW w:w="3264" w:type="dxa"/>
            <w:vAlign w:val="center"/>
          </w:tcPr>
          <w:p w14:paraId="238DE163">
            <w:pPr>
              <w:spacing w:line="300" w:lineRule="auto" w:after="0"/>
              <w:jc w:val="left"/>
            </w:pPr>
            <w:r>
              <w:rPr>
                <w:rFonts w:ascii="宋体" w:hAnsi="宋体" w:eastAsia="宋体" w:cs="宋体"/>
                <w:sz w:val="21"/>
              </w:rPr>
              <w:t>CornerNet</w:t>
            </w:r>
          </w:p>
        </w:tc>
        <w:tc>
          <w:tcPr>
            <w:tcW w:w="3264" w:type="dxa"/>
            <w:vAlign w:val="center"/>
          </w:tcPr>
          <w:p w14:paraId="238C1925">
            <w:pPr>
              <w:spacing w:line="300" w:lineRule="auto" w:after="0"/>
              <w:jc w:val="left"/>
            </w:pPr>
            <w:r>
              <w:rPr>
                <w:rFonts w:ascii="宋体" w:hAnsi="宋体" w:eastAsia="宋体" w:cs="宋体"/>
                <w:sz w:val="21"/>
              </w:rPr>
              <w:t>Hourglass-104</w:t>
            </w:r>
          </w:p>
        </w:tc>
        <w:tc>
          <w:tcPr>
            <w:tcW w:w="3264" w:type="dxa"/>
            <w:vAlign w:val="center"/>
          </w:tcPr>
          <w:p w14:paraId="67B465FB">
            <w:pPr>
              <w:spacing w:line="300" w:lineRule="auto" w:after="0"/>
              <w:jc w:val="center"/>
            </w:pPr>
            <w:r>
              <w:rPr>
                <w:rFonts w:ascii="宋体" w:hAnsi="宋体" w:eastAsia="宋体" w:cs="宋体"/>
                <w:sz w:val="21"/>
              </w:rPr>
              <w:t>64.9</w:t>
            </w:r>
          </w:p>
        </w:tc>
      </w:tr>
    </w:tbl>
    <w:p w14:paraId="318423E5">
      <w:pPr>
        <w:spacing w:after="120" w:line="360" w:lineRule="auto"/>
        <w:ind w:firstLine="560"/>
      </w:pPr>
    </w:p>
    <w:p w14:paraId="65EFF09C">
      <w:pPr>
        <w:spacing w:after="120" w:line="360" w:lineRule="auto"/>
        <w:ind w:firstLine="560"/>
        <w:rPr>
          <w:rFonts w:ascii="宋体" w:hAnsi="宋体" w:eastAsia="宋体" w:cs="宋体"/>
          <w:sz w:val="28"/>
        </w:rPr>
      </w:pPr>
      <w:r>
        <w:rPr>
          <w:rFonts w:ascii="宋体" w:hAnsi="宋体" w:eastAsia="宋体" w:cs="宋体"/>
          <w:sz w:val="28"/>
        </w:rPr>
        <w:t>从基准结果可以得到几个核心结论，可作为教学中的知识点：</w:t>
      </w:r>
    </w:p>
    <w:p w14:paraId="1369F805">
      <w:pPr>
        <w:spacing w:after="120" w:line="360" w:lineRule="auto"/>
        <w:ind w:firstLine="560"/>
        <w:rPr>
          <w:rFonts w:ascii="宋体" w:hAnsi="宋体" w:eastAsia="宋体" w:cs="宋体"/>
          <w:sz w:val="28"/>
        </w:rPr>
      </w:pPr>
      <w:r>
        <w:rPr>
          <w:rFonts w:ascii="宋体" w:hAnsi="宋体" w:eastAsia="宋体" w:cs="宋体"/>
          <w:sz w:val="28"/>
        </w:rPr>
        <w:t>第一，骨干网络的深度与特征能力对检测精度影响显著。以 VGG16 为骨干的 Faster R-CNN mAP 仅为 54.1%，更换为 ResNet-101 骨干并引入特征金字塔网络（FPN）后，mAP 提升至 65.1%，提升幅度超过 10 个百分点。这说明遥感目标的多尺度特性对特征提取能力要求很高，深层网络与多尺度特征融合是提升性能的关键。</w:t>
      </w:r>
    </w:p>
    <w:p w14:paraId="00D92818">
      <w:pPr>
        <w:spacing w:after="120" w:line="360" w:lineRule="auto"/>
        <w:ind w:firstLine="560"/>
        <w:rPr>
          <w:rFonts w:ascii="宋体" w:hAnsi="宋体" w:eastAsia="宋体" w:cs="宋体"/>
          <w:sz w:val="28"/>
        </w:rPr>
      </w:pPr>
      <w:r>
        <w:rPr>
          <w:rFonts w:ascii="宋体" w:hAnsi="宋体" w:eastAsia="宋体" w:cs="宋体"/>
          <w:sz w:val="28"/>
        </w:rPr>
        <w:t>第二，不同检测范式各有优势。两阶段检测模型整体精度优于一阶段模型，但一阶段模型在特定场景下表现突出：YOLOv3 虽然整体 mAP 为 57.1%，但在船舶类别上的 AP 达到 87.4%，在小目标检测上表现优异，这得益于其多尺度预测机制与专门针对小目标优化的网络设计。CornerNet 采用角点检测的无锚框思路，在 9 个类别上取得了最优结果，证明了无锚框检测范式在遥感场景中的应用潜力。</w:t>
      </w:r>
    </w:p>
    <w:p w14:paraId="66B9AD31">
      <w:pPr>
        <w:spacing w:after="120" w:line="360" w:lineRule="auto"/>
        <w:ind w:firstLine="560"/>
        <w:rPr>
          <w:rFonts w:ascii="宋体" w:hAnsi="宋体" w:eastAsia="宋体" w:cs="宋体"/>
          <w:sz w:val="28"/>
        </w:rPr>
      </w:pPr>
      <w:r>
        <w:rPr>
          <w:rFonts w:ascii="宋体" w:hAnsi="宋体" w:eastAsia="宋体" w:cs="宋体"/>
          <w:sz w:val="28"/>
        </w:rPr>
        <w:t>第三，不同类别检测难度差异极大。飞机、网球场、储油罐等特征鲜明、背景简单的目标检测精度普遍较高；而桥梁、港口、立交桥、车辆等目标受背景复杂、目标密集、类间外观相似等因素影响，检测精度明显偏低。教学中应对错误样本进行归类分析，区分是小目标漏检、背景误检还是类间混淆，针对性地优化模型，而不是盲目更换网络结构。</w:t>
      </w:r>
    </w:p>
    <w:p w14:paraId="3EF3A810">
      <w:pPr>
        <w:pStyle w:val="5"/>
        <w:rPr>
          <w:rFonts w:hint="eastAsia" w:ascii="等线" w:hAnsi="等线" w:eastAsia="等线" w:cs="等线"/>
        </w:rPr>
      </w:pPr>
      <w:r>
        <w:rPr>
          <w:rFonts w:hint="eastAsia" w:ascii="等线" w:hAnsi="等线" w:eastAsia="等线" w:cs="等线"/>
          <w:b/>
          <w:sz w:val="23"/>
        </w:rPr>
        <w:t>1.2.7 教学实训使用建议</w:t>
      </w:r>
    </w:p>
    <w:p w14:paraId="655FD4B2">
      <w:pPr>
        <w:spacing w:after="120" w:line="360" w:lineRule="auto"/>
        <w:ind w:firstLine="560"/>
        <w:rPr>
          <w:rFonts w:ascii="宋体" w:hAnsi="宋体" w:eastAsia="宋体" w:cs="宋体"/>
          <w:sz w:val="28"/>
        </w:rPr>
      </w:pPr>
      <w:r>
        <w:rPr>
          <w:rFonts w:ascii="宋体" w:hAnsi="宋体" w:eastAsia="宋体" w:cs="宋体"/>
          <w:sz w:val="28"/>
        </w:rPr>
        <w:t>DIOR 非常适合作为遥感目标检测课程的入门实训数据集，按照 “基础验证 — 综合分析 — 拓展探究” 三个层级设计递进式实验。</w:t>
      </w:r>
    </w:p>
    <w:p w14:paraId="6B540E5F">
      <w:pPr>
        <w:spacing w:after="120" w:line="360" w:lineRule="auto"/>
        <w:ind w:firstLine="560"/>
        <w:rPr>
          <w:rFonts w:ascii="宋体" w:hAnsi="宋体" w:eastAsia="宋体" w:cs="宋体"/>
          <w:sz w:val="28"/>
        </w:rPr>
      </w:pPr>
      <w:r>
        <w:rPr>
          <w:rFonts w:ascii="宋体" w:hAnsi="宋体" w:eastAsia="宋体" w:cs="宋体"/>
          <w:sz w:val="28"/>
        </w:rPr>
        <w:t>基础验证层：选取飞机、船舶、车辆、储油罐、桥梁 5 类典型目标，构建约 3000 幅图像的教学子集，按 7:1.5:1.5 的比例划分训练、验证、测试集。训练 Faster R-CNN 或 YOLOv3 基线模型，完成数据读取、标注解析、模型训练、精度评估的全流程，掌握目标检测的基本逻辑与操作。输出原始影像标注叠加图、每类 AP 与 mAP 统计表、典型检测结果示例图，重点核对 XML 标注中的坐标格式与类别映射关系。</w:t>
      </w:r>
    </w:p>
    <w:p w14:paraId="4719722B">
      <w:pPr>
        <w:spacing w:after="120" w:line="360" w:lineRule="auto"/>
        <w:ind w:firstLine="560"/>
        <w:rPr>
          <w:rFonts w:ascii="宋体" w:hAnsi="宋体" w:eastAsia="宋体" w:cs="宋体"/>
          <w:sz w:val="28"/>
        </w:rPr>
      </w:pPr>
      <w:r>
        <w:rPr>
          <w:rFonts w:ascii="宋体" w:hAnsi="宋体" w:eastAsia="宋体" w:cs="宋体"/>
          <w:sz w:val="28"/>
        </w:rPr>
        <w:t>综合分析层：使用完整 20 类数据集开展实验，对比不同骨干网络、不同检测范式的性能差异，逐类别分析精度差异的原因。完成类别样本量统计、目标尺寸分布统计，结合实验结果分析样本不均衡、多尺度、类间相似性对检测效果的影响，输出误差分析报告，针对至少一类难点目标提出优化思路。</w:t>
      </w:r>
    </w:p>
    <w:p w14:paraId="15A1A8E2">
      <w:pPr>
        <w:spacing w:after="120" w:line="360" w:lineRule="auto"/>
        <w:ind w:firstLine="560"/>
        <w:rPr>
          <w:rFonts w:ascii="宋体" w:hAnsi="宋体" w:eastAsia="宋体" w:cs="宋体"/>
          <w:sz w:val="28"/>
        </w:rPr>
      </w:pPr>
      <w:r>
        <w:rPr>
          <w:rFonts w:ascii="宋体" w:hAnsi="宋体" w:eastAsia="宋体" w:cs="宋体"/>
          <w:sz w:val="28"/>
        </w:rPr>
        <w:t>拓展探究层：可基于 DIOR 开展数据增强、小目标优化、长尾类别提升等方向的拓展实验，比如对比随机裁剪、马赛克增强等策略对小目标检测的提升效果，验证类别平衡损失对长尾类别性能的改善作用。</w:t>
      </w:r>
    </w:p>
    <w:p w14:paraId="6959D672">
      <w:pPr>
        <w:spacing w:after="120" w:line="360" w:lineRule="auto"/>
        <w:ind w:firstLine="560"/>
        <w:rPr>
          <w:rFonts w:ascii="宋体" w:hAnsi="宋体" w:eastAsia="宋体" w:cs="宋体"/>
          <w:sz w:val="28"/>
        </w:rPr>
      </w:pPr>
      <w:r>
        <w:rPr>
          <w:rFonts w:ascii="宋体" w:hAnsi="宋体" w:eastAsia="宋体" w:cs="宋体"/>
          <w:sz w:val="28"/>
        </w:rPr>
        <w:t>完成 DIOR 相关实训后，可掌握通用目标检测模型在遥感场景下的应用方法，理解遥感目标检测的核心难点；在此基础上引入 DOTA 数据集开展旋转框检测、大幅影像切片等进阶内容，能够形成由浅入深、层层递进的完整实训体系。</w:t>
      </w:r>
    </w:p>
    <w:sectPr>
      <w:footerReference r:id="rId5" w:type="default"/>
      <w:pgSz w:w="12240" w:h="15840"/>
      <w:pgMar w:top="1080" w:right="1224" w:bottom="1008"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960AC">
    <w:pPr>
      <w:pStyle w:val="24"/>
      <w:jc w:val="center"/>
    </w:pPr>
    <w:r>
      <w:rPr>
        <w:rFonts w:ascii="宋体" w:hAnsi="宋体" w:cs="宋体" w:eastAsia="宋体"/>
        <w:sz w:val="18"/>
      </w:rPr>
      <w:t xml:space="preserve">遥感目标检测教学实训库  ·  第 </w:t>
    </w:r>
    <w:r>
      <w:rPr>
        <w:rFonts w:ascii="宋体" w:hAnsi="宋体" w:cs="宋体" w:eastAsia="宋体"/>
        <w:sz w:val="18"/>
      </w:rPr>
      <w:fldChar w:fldCharType="begin"/>
    </w:r>
    <w:r>
      <w:rPr>
        <w:rFonts w:ascii="宋体" w:hAnsi="宋体" w:cs="宋体" w:eastAsia="宋体"/>
        <w:sz w:val="18"/>
      </w:rPr>
      <w:instrText xml:space="preserve">PAGE</w:instrText>
    </w:r>
    <w:r>
      <w:rPr>
        <w:rFonts w:ascii="宋体" w:hAnsi="宋体" w:cs="宋体" w:eastAsia="宋体"/>
        <w:sz w:val="18"/>
      </w:rPr>
      <w:fldChar w:fldCharType="separate"/>
    </w:r>
    <w:r>
      <w:rPr>
        <w:rFonts w:ascii="宋体" w:hAnsi="宋体" w:cs="宋体" w:eastAsia="宋体"/>
        <w:sz w:val="18"/>
      </w:rPr>
      <w:t>1</w:t>
    </w:r>
    <w:r>
      <w:rPr>
        <w:rFonts w:ascii="宋体" w:hAnsi="宋体" w:cs="宋体" w:eastAsia="宋体"/>
        <w:sz w:val="18"/>
      </w:rPr>
      <w:fldChar w:fldCharType="end"/>
    </w:r>
    <w:r>
      <w:rPr>
        <w:rFonts w:ascii="宋体" w:hAnsi="宋体" w:cs="宋体" w:eastAsia="宋体"/>
        <w:sz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70E4E1D"/>
    <w:rsid w:val="7676B660"/>
    <w:rsid w:val="7FBFF986"/>
    <w:rsid w:val="7FDF4129"/>
    <w:rsid w:val="7FFF37F7"/>
    <w:rsid w:val="87DCA513"/>
    <w:rsid w:val="E7FF1E0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pPr>
    <w:rPr>
      <w:rFonts w:ascii="宋体" w:hAnsi="宋体" w:eastAsia="宋体" w:cstheme="minorBidi"/>
      <w:sz w:val="28"/>
      <w:szCs w:val="22"/>
      <w:lang w:val="en-US" w:eastAsia="en-US" w:bidi="ar-SA"/>
    </w:rPr>
  </w:style>
  <w:style w:type="paragraph" w:styleId="3">
    <w:name w:val="heading 1"/>
    <w:basedOn w:val="1"/>
    <w:next w:val="1"/>
    <w:link w:val="138"/>
    <w:qFormat/>
    <w:uiPriority w:val="9"/>
    <w:pPr>
      <w:keepNext/>
      <w:keepLines/>
      <w:spacing w:before="480" w:after="0" w:line="240" w:lineRule="auto"/>
      <w:outlineLvl w:val="0"/>
    </w:pPr>
    <w:rPr>
      <w:rFonts w:asciiTheme="majorHAnsi" w:hAnsiTheme="majorHAnsi" w:eastAsiaTheme="majorEastAsia" w:cstheme="majorBidi" w:ascii="等线" w:hAnsi="等线" w:eastAsia="等线"/>
      <w:b/>
      <w:bCs/>
      <w:color w:val="000000"/>
      <w:sz w:val="32"/>
      <w:szCs w:val="28"/>
    </w:rPr>
  </w:style>
  <w:style w:type="paragraph" w:styleId="4">
    <w:name w:val="heading 2"/>
    <w:basedOn w:val="1"/>
    <w:next w:val="1"/>
    <w:link w:val="139"/>
    <w:unhideWhenUsed/>
    <w:qFormat/>
    <w:uiPriority w:val="9"/>
    <w:pPr>
      <w:keepNext/>
      <w:keepLines/>
      <w:spacing w:before="200" w:after="0" w:line="240" w:lineRule="auto"/>
      <w:outlineLvl w:val="1"/>
    </w:pPr>
    <w:rPr>
      <w:rFonts w:asciiTheme="majorHAnsi" w:hAnsiTheme="majorHAnsi" w:eastAsiaTheme="majorEastAsia" w:cstheme="majorBidi" w:ascii="等线" w:hAnsi="等线" w:eastAsia="等线"/>
      <w:b/>
      <w:bCs/>
      <w:color w:val="000000"/>
      <w:sz w:val="26"/>
      <w:szCs w:val="26"/>
    </w:rPr>
  </w:style>
  <w:style w:type="paragraph" w:styleId="5">
    <w:name w:val="heading 3"/>
    <w:basedOn w:val="1"/>
    <w:next w:val="1"/>
    <w:link w:val="140"/>
    <w:unhideWhenUsed/>
    <w:qFormat/>
    <w:uiPriority w:val="9"/>
    <w:pPr>
      <w:keepNext/>
      <w:keepLines/>
      <w:spacing w:before="200" w:after="0" w:line="240" w:lineRule="auto"/>
      <w:outlineLvl w:val="2"/>
    </w:pPr>
    <w:rPr>
      <w:rFonts w:asciiTheme="majorHAnsi" w:hAnsiTheme="majorHAnsi" w:eastAsiaTheme="majorEastAsia" w:cstheme="majorBidi" w:ascii="等线" w:hAnsi="等线" w:eastAsia="等线"/>
      <w:b/>
      <w:bCs/>
      <w:color w:val="000000"/>
      <w:sz w:val="23"/>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after="300" w:line="240" w:lineRule="auto"/>
      <w:contextualSpacing/>
    </w:pPr>
    <w:rPr>
      <w:rFonts w:asciiTheme="majorHAnsi" w:hAnsiTheme="majorHAnsi" w:eastAsiaTheme="majorEastAsia" w:cstheme="majorBidi" w:ascii="等线" w:hAnsi="等线" w:eastAsia="等线"/>
      <w:color w:val="000000"/>
      <w:spacing w:val="5"/>
      <w:kern w:val="28"/>
      <w:sz w:val="44"/>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32</TotalTime>
  <ScaleCrop>false</ScaleCrop>
  <LinksUpToDate>false</LinksUpToDate>
  <CharactersWithSpaces>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黄国斌</cp:lastModifiedBy>
  <dcterms:modified xsi:type="dcterms:W3CDTF">2026-09-17T16:34:42Z</dcterms:modified>
  <dc:subject>DOTA 与 DIOR 数据集教学说明</dc:subject>
  <dc:title>遥感目标检测公开数据集教学实训手册</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AD3BB986E328309F88A1AB6A46BD5248_42</vt:lpwstr>
  </property>
</Properties>
</file>